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64" w:rsidRDefault="00D17BE1">
      <w:pPr>
        <w:rPr>
          <w:lang w:val="en-US"/>
        </w:rPr>
      </w:pPr>
      <w:r w:rsidRPr="00D17BE1">
        <w:rPr>
          <w:lang w:val="en-US"/>
        </w:rPr>
        <w:t xml:space="preserve">Enlace: </w:t>
      </w:r>
      <w:hyperlink r:id="rId6" w:history="1">
        <w:r w:rsidRPr="0045032A">
          <w:rPr>
            <w:rStyle w:val="Hipervnculo"/>
            <w:lang w:val="en-US"/>
          </w:rPr>
          <w:t>http://www.nacion.com/2011-03-08/Economia/NotasSecundarias/Economia2707062.aspx</w:t>
        </w:r>
      </w:hyperlink>
    </w:p>
    <w:p w:rsidR="00D17BE1" w:rsidRPr="00D17BE1" w:rsidRDefault="00D17BE1">
      <w:pPr>
        <w:rPr>
          <w:lang w:val="en-US"/>
        </w:rPr>
      </w:pPr>
    </w:p>
    <w:p w:rsidR="00D17BE1" w:rsidRPr="00D17BE1" w:rsidRDefault="00D17BE1" w:rsidP="00D17BE1">
      <w:pPr>
        <w:shd w:val="clear" w:color="auto" w:fill="FFFFFF"/>
        <w:spacing w:after="0" w:line="240" w:lineRule="auto"/>
        <w:outlineLvl w:val="1"/>
        <w:rPr>
          <w:rFonts w:ascii="Arial" w:eastAsia="Times New Roman" w:hAnsi="Arial" w:cs="Arial"/>
          <w:caps/>
          <w:color w:val="666666"/>
          <w:sz w:val="18"/>
          <w:szCs w:val="18"/>
          <w:lang w:eastAsia="es-CR"/>
        </w:rPr>
      </w:pPr>
      <w:r w:rsidRPr="00D17BE1">
        <w:rPr>
          <w:rFonts w:ascii="Arial" w:eastAsia="Times New Roman" w:hAnsi="Arial" w:cs="Arial"/>
          <w:caps/>
          <w:color w:val="666666"/>
          <w:sz w:val="18"/>
          <w:szCs w:val="18"/>
          <w:lang w:eastAsia="es-CR"/>
        </w:rPr>
        <w:t>Hacienda advirtió que no se pueden usar para bajar déficit fiscal</w:t>
      </w:r>
    </w:p>
    <w:p w:rsidR="00D17BE1" w:rsidRPr="00D17BE1" w:rsidRDefault="00D17BE1" w:rsidP="00D17BE1">
      <w:pPr>
        <w:shd w:val="clear" w:color="auto" w:fill="FFFFFF"/>
        <w:spacing w:after="0" w:line="240" w:lineRule="auto"/>
        <w:outlineLvl w:val="0"/>
        <w:rPr>
          <w:rFonts w:ascii="Georgia" w:eastAsia="Times New Roman" w:hAnsi="Georgia" w:cs="Times New Roman"/>
          <w:color w:val="000000"/>
          <w:kern w:val="36"/>
          <w:sz w:val="45"/>
          <w:szCs w:val="45"/>
          <w:lang w:eastAsia="es-CR"/>
        </w:rPr>
      </w:pPr>
      <w:r w:rsidRPr="00D17BE1">
        <w:rPr>
          <w:rFonts w:ascii="Georgia" w:eastAsia="Times New Roman" w:hAnsi="Georgia" w:cs="Times New Roman"/>
          <w:color w:val="000000"/>
          <w:kern w:val="36"/>
          <w:sz w:val="45"/>
          <w:szCs w:val="45"/>
          <w:lang w:eastAsia="es-CR"/>
        </w:rPr>
        <w:t>Contraloría detectó fuertes superávits en sector público</w:t>
      </w:r>
    </w:p>
    <w:p w:rsidR="00D17BE1" w:rsidRPr="00D17BE1" w:rsidRDefault="00D17BE1" w:rsidP="00D17BE1">
      <w:pPr>
        <w:shd w:val="clear" w:color="auto" w:fill="FFFFFF"/>
        <w:spacing w:after="75" w:line="240" w:lineRule="auto"/>
        <w:outlineLvl w:val="2"/>
        <w:rPr>
          <w:rFonts w:ascii="Arial" w:eastAsia="Times New Roman" w:hAnsi="Arial" w:cs="Arial"/>
          <w:color w:val="666666"/>
          <w:sz w:val="21"/>
          <w:szCs w:val="21"/>
          <w:lang w:eastAsia="es-CR"/>
        </w:rPr>
      </w:pPr>
      <w:r w:rsidRPr="00D17BE1">
        <w:rPr>
          <w:rFonts w:ascii="Arial" w:eastAsia="Times New Roman" w:hAnsi="Arial" w:cs="Arial"/>
          <w:color w:val="666666"/>
          <w:sz w:val="21"/>
          <w:szCs w:val="21"/>
          <w:lang w:eastAsia="es-CR"/>
        </w:rPr>
        <w:t xml:space="preserve">En el 2010 destacan excedentes en el </w:t>
      </w:r>
      <w:proofErr w:type="spellStart"/>
      <w:r w:rsidRPr="00D17BE1">
        <w:rPr>
          <w:rFonts w:ascii="Arial" w:eastAsia="Times New Roman" w:hAnsi="Arial" w:cs="Arial"/>
          <w:color w:val="666666"/>
          <w:sz w:val="21"/>
          <w:szCs w:val="21"/>
          <w:lang w:eastAsia="es-CR"/>
        </w:rPr>
        <w:t>Conavi</w:t>
      </w:r>
      <w:proofErr w:type="spellEnd"/>
      <w:r w:rsidRPr="00D17BE1">
        <w:rPr>
          <w:rFonts w:ascii="Arial" w:eastAsia="Times New Roman" w:hAnsi="Arial" w:cs="Arial"/>
          <w:color w:val="666666"/>
          <w:sz w:val="21"/>
          <w:szCs w:val="21"/>
          <w:lang w:eastAsia="es-CR"/>
        </w:rPr>
        <w:t xml:space="preserve">, ICE y JPS </w:t>
      </w:r>
    </w:p>
    <w:p w:rsidR="00D17BE1" w:rsidRPr="00D17BE1" w:rsidRDefault="00D17BE1" w:rsidP="00D17BE1">
      <w:pPr>
        <w:shd w:val="clear" w:color="auto" w:fill="FFFFFF"/>
        <w:spacing w:after="75" w:line="240" w:lineRule="auto"/>
        <w:outlineLvl w:val="2"/>
        <w:rPr>
          <w:rFonts w:ascii="Arial" w:eastAsia="Times New Roman" w:hAnsi="Arial" w:cs="Arial"/>
          <w:color w:val="666666"/>
          <w:sz w:val="21"/>
          <w:szCs w:val="21"/>
          <w:lang w:eastAsia="es-CR"/>
        </w:rPr>
      </w:pPr>
      <w:r w:rsidRPr="00D17BE1">
        <w:rPr>
          <w:rFonts w:ascii="Arial" w:eastAsia="Times New Roman" w:hAnsi="Arial" w:cs="Arial"/>
          <w:color w:val="666666"/>
          <w:sz w:val="21"/>
          <w:szCs w:val="21"/>
          <w:lang w:eastAsia="es-CR"/>
        </w:rPr>
        <w:t xml:space="preserve">Monto de </w:t>
      </w:r>
      <w:proofErr w:type="spellStart"/>
      <w:r w:rsidRPr="00D17BE1">
        <w:rPr>
          <w:rFonts w:ascii="Arial" w:eastAsia="Times New Roman" w:hAnsi="Arial" w:cs="Arial"/>
          <w:color w:val="666666"/>
          <w:sz w:val="21"/>
          <w:szCs w:val="21"/>
          <w:lang w:eastAsia="es-CR"/>
        </w:rPr>
        <w:t>Conavi</w:t>
      </w:r>
      <w:proofErr w:type="spellEnd"/>
      <w:r w:rsidRPr="00D17BE1">
        <w:rPr>
          <w:rFonts w:ascii="Arial" w:eastAsia="Times New Roman" w:hAnsi="Arial" w:cs="Arial"/>
          <w:color w:val="666666"/>
          <w:sz w:val="21"/>
          <w:szCs w:val="21"/>
          <w:lang w:eastAsia="es-CR"/>
        </w:rPr>
        <w:t xml:space="preserve"> incluye dinero para carreteras; y el de la Caja, el de pensiones</w:t>
      </w:r>
    </w:p>
    <w:p w:rsidR="00D17BE1" w:rsidRDefault="00D17BE1" w:rsidP="00D17BE1">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p>
    <w:p w:rsidR="00D17BE1" w:rsidRDefault="00D17BE1" w:rsidP="00D17BE1">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bookmarkStart w:id="0" w:name="_GoBack"/>
      <w:bookmarkEnd w:id="0"/>
      <w:r w:rsidRPr="00D17BE1">
        <w:rPr>
          <w:rFonts w:ascii="Times New Roman" w:eastAsia="Times New Roman" w:hAnsi="Times New Roman" w:cs="Times New Roman"/>
          <w:color w:val="444444"/>
          <w:sz w:val="24"/>
          <w:szCs w:val="24"/>
          <w:lang w:eastAsia="es-CR"/>
        </w:rPr>
        <w:t>La Contraloría General de la República informó ayer de que algunas instituciones públicas terminaron el 2010 con un fuerte superávit en sus finanzas, incluso varias de las que reciben transferencias del Gobierno Central.</w:t>
      </w:r>
    </w:p>
    <w:p w:rsidR="00D17BE1" w:rsidRPr="00D17BE1" w:rsidRDefault="00D17BE1" w:rsidP="00D17BE1">
      <w:pPr>
        <w:shd w:val="clear" w:color="auto" w:fill="333333"/>
        <w:spacing w:after="0" w:line="240" w:lineRule="auto"/>
        <w:jc w:val="both"/>
        <w:rPr>
          <w:rFonts w:ascii="Times New Roman" w:eastAsia="Times New Roman" w:hAnsi="Times New Roman" w:cs="Times New Roman"/>
          <w:vanish/>
          <w:color w:val="444444"/>
          <w:sz w:val="24"/>
          <w:szCs w:val="24"/>
          <w:lang w:eastAsia="es-CR"/>
        </w:rPr>
      </w:pPr>
      <w:r w:rsidRPr="00D17BE1">
        <w:rPr>
          <w:rFonts w:ascii="Times New Roman" w:eastAsia="Times New Roman" w:hAnsi="Times New Roman" w:cs="Times New Roman"/>
          <w:noProof/>
          <w:vanish/>
          <w:color w:val="444444"/>
          <w:sz w:val="24"/>
          <w:szCs w:val="24"/>
          <w:lang w:eastAsia="es-CR"/>
        </w:rPr>
        <w:drawing>
          <wp:inline distT="0" distB="0" distL="0" distR="0" wp14:anchorId="3D9EA90D" wp14:editId="0AC83829">
            <wp:extent cx="304800" cy="304800"/>
            <wp:effectExtent l="0" t="0" r="0" b="0"/>
            <wp:docPr id="1" name="Imagen 1" descr="http://static.flowplayer.org/tools/img/overlay/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flowplayer.org/tools/img/overlay/loadin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D17BE1" w:rsidRPr="00D17BE1" w:rsidRDefault="00D17BE1" w:rsidP="00D17BE1">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D17BE1">
        <w:rPr>
          <w:rFonts w:ascii="Times New Roman" w:eastAsia="Times New Roman" w:hAnsi="Times New Roman" w:cs="Times New Roman"/>
          <w:color w:val="444444"/>
          <w:sz w:val="24"/>
          <w:szCs w:val="24"/>
          <w:lang w:eastAsia="es-CR"/>
        </w:rPr>
        <w:t xml:space="preserve">Así lo resaltó en el documento </w:t>
      </w:r>
      <w:r w:rsidRPr="00D17BE1">
        <w:rPr>
          <w:rFonts w:ascii="Times New Roman" w:eastAsia="Times New Roman" w:hAnsi="Times New Roman" w:cs="Times New Roman"/>
          <w:i/>
          <w:iCs/>
          <w:color w:val="444444"/>
          <w:sz w:val="24"/>
          <w:szCs w:val="24"/>
          <w:lang w:eastAsia="es-CR"/>
        </w:rPr>
        <w:t>Presupuestos públicos 2011. Situación y perspectivas</w:t>
      </w:r>
      <w:r w:rsidRPr="00D17BE1">
        <w:rPr>
          <w:rFonts w:ascii="Times New Roman" w:eastAsia="Times New Roman" w:hAnsi="Times New Roman" w:cs="Times New Roman"/>
          <w:color w:val="444444"/>
          <w:sz w:val="24"/>
          <w:szCs w:val="24"/>
          <w:lang w:eastAsia="es-CR"/>
        </w:rPr>
        <w:t>, en el cual el órgano contralor analizó los planes de gasto público del 2011.</w:t>
      </w:r>
    </w:p>
    <w:p w:rsidR="00D17BE1" w:rsidRPr="00D17BE1" w:rsidRDefault="00D17BE1" w:rsidP="00D17BE1">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D17BE1">
        <w:rPr>
          <w:rFonts w:ascii="Times New Roman" w:eastAsia="Times New Roman" w:hAnsi="Times New Roman" w:cs="Times New Roman"/>
          <w:color w:val="444444"/>
          <w:sz w:val="24"/>
          <w:szCs w:val="24"/>
          <w:lang w:eastAsia="es-CR"/>
        </w:rPr>
        <w:t>No obstante, el Ministerio de Hacienda advirtió, mediante un comunicado, que muchos de estos superávits no se pueden utilizar para aliviar el déficit fiscal porque “obedecen a compromisos adquiridos por las instituciones, sea para atención de proyectos de inversión pública o de obligaciones previamente adquiridas, como el caso de pensiones y pago de todo tipo de seguros”.</w:t>
      </w:r>
    </w:p>
    <w:p w:rsidR="00D17BE1" w:rsidRPr="00D17BE1" w:rsidRDefault="00D17BE1" w:rsidP="00D17BE1">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D17BE1">
        <w:rPr>
          <w:rFonts w:ascii="Times New Roman" w:eastAsia="Times New Roman" w:hAnsi="Times New Roman" w:cs="Times New Roman"/>
          <w:color w:val="444444"/>
          <w:sz w:val="24"/>
          <w:szCs w:val="24"/>
          <w:lang w:eastAsia="es-CR"/>
        </w:rPr>
        <w:t xml:space="preserve">La propuesta de usar los superávits para reducir el déficit fiscal, y así evitar aumentar los impuestos, es del diputado socialcristiano Luis </w:t>
      </w:r>
      <w:proofErr w:type="spellStart"/>
      <w:r w:rsidRPr="00D17BE1">
        <w:rPr>
          <w:rFonts w:ascii="Times New Roman" w:eastAsia="Times New Roman" w:hAnsi="Times New Roman" w:cs="Times New Roman"/>
          <w:color w:val="444444"/>
          <w:sz w:val="24"/>
          <w:szCs w:val="24"/>
          <w:lang w:eastAsia="es-CR"/>
        </w:rPr>
        <w:t>Fishman</w:t>
      </w:r>
      <w:proofErr w:type="spellEnd"/>
      <w:r w:rsidRPr="00D17BE1">
        <w:rPr>
          <w:rFonts w:ascii="Times New Roman" w:eastAsia="Times New Roman" w:hAnsi="Times New Roman" w:cs="Times New Roman"/>
          <w:color w:val="444444"/>
          <w:sz w:val="24"/>
          <w:szCs w:val="24"/>
          <w:lang w:eastAsia="es-CR"/>
        </w:rPr>
        <w:t xml:space="preserve">. </w:t>
      </w:r>
    </w:p>
    <w:p w:rsidR="00D17BE1" w:rsidRPr="00D17BE1" w:rsidRDefault="00D17BE1" w:rsidP="00D17BE1">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D17BE1">
        <w:rPr>
          <w:rFonts w:ascii="Times New Roman" w:eastAsia="Times New Roman" w:hAnsi="Times New Roman" w:cs="Times New Roman"/>
          <w:color w:val="444444"/>
          <w:sz w:val="24"/>
          <w:szCs w:val="24"/>
          <w:lang w:eastAsia="es-CR"/>
        </w:rPr>
        <w:t xml:space="preserve">Según la Contraloría, entre las entidades que aumentaron sus superávits, y que reciben transferencias del Gobierno, se encuentra el </w:t>
      </w:r>
      <w:proofErr w:type="spellStart"/>
      <w:r w:rsidRPr="00D17BE1">
        <w:rPr>
          <w:rFonts w:ascii="Times New Roman" w:eastAsia="Times New Roman" w:hAnsi="Times New Roman" w:cs="Times New Roman"/>
          <w:color w:val="444444"/>
          <w:sz w:val="24"/>
          <w:szCs w:val="24"/>
          <w:lang w:eastAsia="es-CR"/>
        </w:rPr>
        <w:t>Conavi</w:t>
      </w:r>
      <w:proofErr w:type="spellEnd"/>
      <w:r w:rsidRPr="00D17BE1">
        <w:rPr>
          <w:rFonts w:ascii="Times New Roman" w:eastAsia="Times New Roman" w:hAnsi="Times New Roman" w:cs="Times New Roman"/>
          <w:color w:val="444444"/>
          <w:sz w:val="24"/>
          <w:szCs w:val="24"/>
          <w:lang w:eastAsia="es-CR"/>
        </w:rPr>
        <w:t xml:space="preserve"> (Consejo Nacional de Vialidad), cuyo sobrante pasó de ¢8.858 millones en el 2009 a ¢109.040 millones en el </w:t>
      </w:r>
      <w:proofErr w:type="gramStart"/>
      <w:r w:rsidRPr="00D17BE1">
        <w:rPr>
          <w:rFonts w:ascii="Times New Roman" w:eastAsia="Times New Roman" w:hAnsi="Times New Roman" w:cs="Times New Roman"/>
          <w:color w:val="444444"/>
          <w:sz w:val="24"/>
          <w:szCs w:val="24"/>
          <w:lang w:eastAsia="es-CR"/>
        </w:rPr>
        <w:t>2010 .</w:t>
      </w:r>
      <w:proofErr w:type="gramEnd"/>
    </w:p>
    <w:p w:rsidR="00D17BE1" w:rsidRPr="00D17BE1" w:rsidRDefault="00D17BE1" w:rsidP="00D17BE1">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D17BE1">
        <w:rPr>
          <w:rFonts w:ascii="Times New Roman" w:eastAsia="Times New Roman" w:hAnsi="Times New Roman" w:cs="Times New Roman"/>
          <w:color w:val="444444"/>
          <w:sz w:val="24"/>
          <w:szCs w:val="24"/>
          <w:lang w:eastAsia="es-CR"/>
        </w:rPr>
        <w:t xml:space="preserve">Otras de las instituciones que la Contraloría destacó por el incremento en sus excedentes fueron el ICE, cuyo sobrante pasó de ¢90.152 millones en el 2009 a ¢164.742 millones en el 2010, y la Junta de Protección Social de San José, donde pasó de ¢16.789 millones a ¢52.507 millones en ese mismo período. </w:t>
      </w:r>
    </w:p>
    <w:p w:rsidR="00D17BE1" w:rsidRPr="00D17BE1" w:rsidRDefault="00D17BE1" w:rsidP="00D17BE1">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D17BE1">
        <w:rPr>
          <w:rFonts w:ascii="Times New Roman" w:eastAsia="Times New Roman" w:hAnsi="Times New Roman" w:cs="Times New Roman"/>
          <w:color w:val="444444"/>
          <w:sz w:val="24"/>
          <w:szCs w:val="24"/>
          <w:lang w:eastAsia="es-CR"/>
        </w:rPr>
        <w:t xml:space="preserve">En varias entidades disminuyeron los sobrantes, pero terminaron el 2010 con montos importantes, como en el caso de la Caja Costarricense de Seguro Social (CCSS), con ¢146.452 millones, y del Instituto Nacional de Seguros (INS), con ¢499.036 millones. </w:t>
      </w:r>
    </w:p>
    <w:p w:rsidR="00D17BE1" w:rsidRPr="00D17BE1" w:rsidRDefault="00D17BE1" w:rsidP="00D17BE1">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D17BE1">
        <w:rPr>
          <w:rFonts w:ascii="Times New Roman" w:eastAsia="Times New Roman" w:hAnsi="Times New Roman" w:cs="Times New Roman"/>
          <w:color w:val="444444"/>
          <w:sz w:val="24"/>
          <w:szCs w:val="24"/>
          <w:lang w:eastAsia="es-CR"/>
        </w:rPr>
        <w:lastRenderedPageBreak/>
        <w:t>La Contraloría explicó, en el documento, que generalmente estos sobrantes se incorporan en el presupuesto del siguiente año.</w:t>
      </w:r>
    </w:p>
    <w:p w:rsidR="00D17BE1" w:rsidRPr="00D17BE1" w:rsidRDefault="00D17BE1" w:rsidP="00D17BE1">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D17BE1">
        <w:rPr>
          <w:rFonts w:ascii="Times New Roman" w:eastAsia="Times New Roman" w:hAnsi="Times New Roman" w:cs="Times New Roman"/>
          <w:color w:val="444444"/>
          <w:sz w:val="24"/>
          <w:szCs w:val="24"/>
          <w:lang w:eastAsia="es-CR"/>
        </w:rPr>
        <w:t xml:space="preserve">José Luis Araya, viceministro encargado de Gastos del Ministerio de Hacienda, explicó que, en el caso del </w:t>
      </w:r>
      <w:proofErr w:type="spellStart"/>
      <w:r w:rsidRPr="00D17BE1">
        <w:rPr>
          <w:rFonts w:ascii="Times New Roman" w:eastAsia="Times New Roman" w:hAnsi="Times New Roman" w:cs="Times New Roman"/>
          <w:color w:val="444444"/>
          <w:sz w:val="24"/>
          <w:szCs w:val="24"/>
          <w:lang w:eastAsia="es-CR"/>
        </w:rPr>
        <w:t>Conavi</w:t>
      </w:r>
      <w:proofErr w:type="spellEnd"/>
      <w:r w:rsidRPr="00D17BE1">
        <w:rPr>
          <w:rFonts w:ascii="Times New Roman" w:eastAsia="Times New Roman" w:hAnsi="Times New Roman" w:cs="Times New Roman"/>
          <w:color w:val="444444"/>
          <w:sz w:val="24"/>
          <w:szCs w:val="24"/>
          <w:lang w:eastAsia="es-CR"/>
        </w:rPr>
        <w:t>, se encuentran incluidos $140 millones (¢70.590 millones) para la conclusión de la carretera a San Carlos, además de otros proyectos.</w:t>
      </w:r>
    </w:p>
    <w:p w:rsidR="00D17BE1" w:rsidRPr="00D17BE1" w:rsidRDefault="00D17BE1" w:rsidP="00D17BE1">
      <w:pPr>
        <w:shd w:val="clear" w:color="auto" w:fill="FFFFFF"/>
        <w:spacing w:before="100" w:beforeAutospacing="1" w:after="240" w:line="330" w:lineRule="atLeast"/>
        <w:jc w:val="both"/>
        <w:rPr>
          <w:rFonts w:ascii="Times New Roman" w:eastAsia="Times New Roman" w:hAnsi="Times New Roman" w:cs="Times New Roman"/>
          <w:color w:val="444444"/>
          <w:sz w:val="24"/>
          <w:szCs w:val="24"/>
          <w:lang w:eastAsia="es-CR"/>
        </w:rPr>
      </w:pPr>
      <w:r w:rsidRPr="00D17BE1">
        <w:rPr>
          <w:rFonts w:ascii="Times New Roman" w:eastAsia="Times New Roman" w:hAnsi="Times New Roman" w:cs="Times New Roman"/>
          <w:color w:val="444444"/>
          <w:sz w:val="24"/>
          <w:szCs w:val="24"/>
          <w:lang w:eastAsia="es-CR"/>
        </w:rPr>
        <w:t xml:space="preserve">En el caso de la Caja, el mayor monto del superávit lo generan los recursos del Régimen de Invalidez Vejez y Muerte (IVM), que tienen como destino financiar las pensiones, y, en el del INS, el superávit acumulado obedece, básicamente, al respaldo de las reservas técnicas y administrativas, que son para pagar las obligaciones contractuales a los asegurados. </w:t>
      </w:r>
    </w:p>
    <w:p w:rsidR="00D17BE1" w:rsidRPr="00D17BE1" w:rsidRDefault="00D17BE1" w:rsidP="00D17BE1">
      <w:pPr>
        <w:jc w:val="both"/>
      </w:pPr>
    </w:p>
    <w:sectPr w:rsidR="00D17BE1" w:rsidRPr="00D17B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E7049"/>
    <w:multiLevelType w:val="multilevel"/>
    <w:tmpl w:val="D46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E1"/>
    <w:rsid w:val="00A73364"/>
    <w:rsid w:val="00D17B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7B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7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010214">
      <w:bodyDiv w:val="1"/>
      <w:marLeft w:val="0"/>
      <w:marRight w:val="0"/>
      <w:marTop w:val="0"/>
      <w:marBottom w:val="0"/>
      <w:divBdr>
        <w:top w:val="none" w:sz="0" w:space="0" w:color="auto"/>
        <w:left w:val="none" w:sz="0" w:space="0" w:color="auto"/>
        <w:bottom w:val="none" w:sz="0" w:space="0" w:color="auto"/>
        <w:right w:val="none" w:sz="0" w:space="0" w:color="auto"/>
      </w:divBdr>
      <w:divsChild>
        <w:div w:id="1675570785">
          <w:marLeft w:val="0"/>
          <w:marRight w:val="0"/>
          <w:marTop w:val="0"/>
          <w:marBottom w:val="0"/>
          <w:divBdr>
            <w:top w:val="none" w:sz="0" w:space="0" w:color="auto"/>
            <w:left w:val="single" w:sz="6" w:space="0" w:color="CCCCCC"/>
            <w:bottom w:val="single" w:sz="6" w:space="0" w:color="CCCCCC"/>
            <w:right w:val="single" w:sz="6" w:space="0" w:color="CCCCCC"/>
          </w:divBdr>
          <w:divsChild>
            <w:div w:id="425342755">
              <w:marLeft w:val="0"/>
              <w:marRight w:val="0"/>
              <w:marTop w:val="0"/>
              <w:marBottom w:val="0"/>
              <w:divBdr>
                <w:top w:val="none" w:sz="0" w:space="0" w:color="auto"/>
                <w:left w:val="none" w:sz="0" w:space="0" w:color="auto"/>
                <w:bottom w:val="none" w:sz="0" w:space="0" w:color="auto"/>
                <w:right w:val="single" w:sz="6" w:space="0" w:color="CCCCCC"/>
              </w:divBdr>
              <w:divsChild>
                <w:div w:id="418329601">
                  <w:marLeft w:val="0"/>
                  <w:marRight w:val="0"/>
                  <w:marTop w:val="0"/>
                  <w:marBottom w:val="150"/>
                  <w:divBdr>
                    <w:top w:val="none" w:sz="0" w:space="0" w:color="auto"/>
                    <w:left w:val="none" w:sz="0" w:space="0" w:color="auto"/>
                    <w:bottom w:val="none" w:sz="0" w:space="0" w:color="auto"/>
                    <w:right w:val="none" w:sz="0" w:space="0" w:color="auto"/>
                  </w:divBdr>
                  <w:divsChild>
                    <w:div w:id="1055851948">
                      <w:marLeft w:val="0"/>
                      <w:marRight w:val="0"/>
                      <w:marTop w:val="0"/>
                      <w:marBottom w:val="0"/>
                      <w:divBdr>
                        <w:top w:val="none" w:sz="0" w:space="0" w:color="auto"/>
                        <w:left w:val="none" w:sz="0" w:space="0" w:color="auto"/>
                        <w:bottom w:val="none" w:sz="0" w:space="0" w:color="auto"/>
                        <w:right w:val="none" w:sz="0" w:space="0" w:color="auto"/>
                      </w:divBdr>
                      <w:divsChild>
                        <w:div w:id="1230072481">
                          <w:marLeft w:val="0"/>
                          <w:marRight w:val="0"/>
                          <w:marTop w:val="0"/>
                          <w:marBottom w:val="0"/>
                          <w:divBdr>
                            <w:top w:val="none" w:sz="0" w:space="0" w:color="auto"/>
                            <w:left w:val="none" w:sz="0" w:space="0" w:color="auto"/>
                            <w:bottom w:val="none" w:sz="0" w:space="0" w:color="auto"/>
                            <w:right w:val="single" w:sz="6" w:space="0" w:color="CCCCCC"/>
                          </w:divBdr>
                        </w:div>
                        <w:div w:id="1231580314">
                          <w:marLeft w:val="0"/>
                          <w:marRight w:val="0"/>
                          <w:marTop w:val="0"/>
                          <w:marBottom w:val="0"/>
                          <w:divBdr>
                            <w:top w:val="none" w:sz="0" w:space="0" w:color="auto"/>
                            <w:left w:val="none" w:sz="0" w:space="0" w:color="auto"/>
                            <w:bottom w:val="none" w:sz="0" w:space="0" w:color="auto"/>
                            <w:right w:val="none" w:sz="0" w:space="0" w:color="auto"/>
                          </w:divBdr>
                        </w:div>
                        <w:div w:id="1923686128">
                          <w:marLeft w:val="150"/>
                          <w:marRight w:val="150"/>
                          <w:marTop w:val="0"/>
                          <w:marBottom w:val="0"/>
                          <w:divBdr>
                            <w:top w:val="none" w:sz="0" w:space="0" w:color="auto"/>
                            <w:left w:val="none" w:sz="0" w:space="0" w:color="auto"/>
                            <w:bottom w:val="none" w:sz="0" w:space="0" w:color="auto"/>
                            <w:right w:val="single" w:sz="6" w:space="8" w:color="CCCCCC"/>
                          </w:divBdr>
                        </w:div>
                        <w:div w:id="394863848">
                          <w:marLeft w:val="0"/>
                          <w:marRight w:val="0"/>
                          <w:marTop w:val="0"/>
                          <w:marBottom w:val="0"/>
                          <w:divBdr>
                            <w:top w:val="none" w:sz="0" w:space="0" w:color="auto"/>
                            <w:left w:val="none" w:sz="0" w:space="0" w:color="auto"/>
                            <w:bottom w:val="none" w:sz="0" w:space="0" w:color="auto"/>
                            <w:right w:val="none" w:sz="0" w:space="0" w:color="auto"/>
                          </w:divBdr>
                        </w:div>
                        <w:div w:id="1789355188">
                          <w:marLeft w:val="75"/>
                          <w:marRight w:val="0"/>
                          <w:marTop w:val="75"/>
                          <w:marBottom w:val="0"/>
                          <w:divBdr>
                            <w:top w:val="none" w:sz="0" w:space="0" w:color="auto"/>
                            <w:left w:val="none" w:sz="0" w:space="0" w:color="auto"/>
                            <w:bottom w:val="none" w:sz="0" w:space="0" w:color="auto"/>
                            <w:right w:val="none" w:sz="0" w:space="0" w:color="auto"/>
                          </w:divBdr>
                        </w:div>
                        <w:div w:id="951668033">
                          <w:marLeft w:val="0"/>
                          <w:marRight w:val="0"/>
                          <w:marTop w:val="0"/>
                          <w:marBottom w:val="0"/>
                          <w:divBdr>
                            <w:top w:val="single" w:sz="6" w:space="0" w:color="666666"/>
                            <w:left w:val="single" w:sz="6" w:space="0" w:color="666666"/>
                            <w:bottom w:val="single" w:sz="6" w:space="0" w:color="666666"/>
                            <w:right w:val="single" w:sz="6" w:space="0" w:color="666666"/>
                          </w:divBdr>
                        </w:div>
                        <w:div w:id="1190222560">
                          <w:marLeft w:val="0"/>
                          <w:marRight w:val="0"/>
                          <w:marTop w:val="0"/>
                          <w:marBottom w:val="0"/>
                          <w:divBdr>
                            <w:top w:val="none" w:sz="0" w:space="0" w:color="auto"/>
                            <w:left w:val="none" w:sz="0" w:space="0" w:color="auto"/>
                            <w:bottom w:val="none" w:sz="0" w:space="0" w:color="auto"/>
                            <w:right w:val="none" w:sz="0" w:space="0" w:color="auto"/>
                          </w:divBdr>
                        </w:div>
                        <w:div w:id="1466193377">
                          <w:marLeft w:val="0"/>
                          <w:marRight w:val="150"/>
                          <w:marTop w:val="0"/>
                          <w:marBottom w:val="0"/>
                          <w:divBdr>
                            <w:top w:val="none" w:sz="0" w:space="0" w:color="auto"/>
                            <w:left w:val="none" w:sz="0" w:space="0" w:color="auto"/>
                            <w:bottom w:val="none" w:sz="0" w:space="0" w:color="auto"/>
                            <w:right w:val="none" w:sz="0" w:space="0" w:color="auto"/>
                          </w:divBdr>
                          <w:divsChild>
                            <w:div w:id="1129207728">
                              <w:marLeft w:val="0"/>
                              <w:marRight w:val="150"/>
                              <w:marTop w:val="0"/>
                              <w:marBottom w:val="450"/>
                              <w:divBdr>
                                <w:top w:val="none" w:sz="0" w:space="0" w:color="auto"/>
                                <w:left w:val="none" w:sz="0" w:space="0" w:color="auto"/>
                                <w:bottom w:val="none" w:sz="0" w:space="0" w:color="auto"/>
                                <w:right w:val="none" w:sz="0" w:space="0" w:color="auto"/>
                              </w:divBdr>
                              <w:divsChild>
                                <w:div w:id="1580287570">
                                  <w:marLeft w:val="0"/>
                                  <w:marRight w:val="0"/>
                                  <w:marTop w:val="0"/>
                                  <w:marBottom w:val="0"/>
                                  <w:divBdr>
                                    <w:top w:val="none" w:sz="0" w:space="0" w:color="auto"/>
                                    <w:left w:val="none" w:sz="0" w:space="0" w:color="auto"/>
                                    <w:bottom w:val="none" w:sz="0" w:space="0" w:color="auto"/>
                                    <w:right w:val="none" w:sz="0" w:space="0" w:color="auto"/>
                                  </w:divBdr>
                                  <w:divsChild>
                                    <w:div w:id="8023657">
                                      <w:marLeft w:val="210"/>
                                      <w:marRight w:val="210"/>
                                      <w:marTop w:val="0"/>
                                      <w:marBottom w:val="0"/>
                                      <w:divBdr>
                                        <w:top w:val="none" w:sz="0" w:space="0" w:color="auto"/>
                                        <w:left w:val="none" w:sz="0" w:space="0" w:color="auto"/>
                                        <w:bottom w:val="none" w:sz="0" w:space="0" w:color="auto"/>
                                        <w:right w:val="none" w:sz="0" w:space="0" w:color="auto"/>
                                      </w:divBdr>
                                      <w:divsChild>
                                        <w:div w:id="51855488">
                                          <w:marLeft w:val="0"/>
                                          <w:marRight w:val="0"/>
                                          <w:marTop w:val="0"/>
                                          <w:marBottom w:val="0"/>
                                          <w:divBdr>
                                            <w:top w:val="none" w:sz="0" w:space="0" w:color="auto"/>
                                            <w:left w:val="none" w:sz="0" w:space="0" w:color="auto"/>
                                            <w:bottom w:val="none" w:sz="0" w:space="0" w:color="auto"/>
                                            <w:right w:val="none" w:sz="0" w:space="0" w:color="auto"/>
                                          </w:divBdr>
                                          <w:divsChild>
                                            <w:div w:id="1901549499">
                                              <w:marLeft w:val="0"/>
                                              <w:marRight w:val="0"/>
                                              <w:marTop w:val="0"/>
                                              <w:marBottom w:val="0"/>
                                              <w:divBdr>
                                                <w:top w:val="none" w:sz="0" w:space="0" w:color="auto"/>
                                                <w:left w:val="none" w:sz="0" w:space="0" w:color="auto"/>
                                                <w:bottom w:val="none" w:sz="0" w:space="0" w:color="auto"/>
                                                <w:right w:val="none" w:sz="0" w:space="0" w:color="auto"/>
                                              </w:divBdr>
                                            </w:div>
                                            <w:div w:id="2013800557">
                                              <w:marLeft w:val="0"/>
                                              <w:marRight w:val="0"/>
                                              <w:marTop w:val="0"/>
                                              <w:marBottom w:val="0"/>
                                              <w:divBdr>
                                                <w:top w:val="none" w:sz="0" w:space="0" w:color="auto"/>
                                                <w:left w:val="none" w:sz="0" w:space="0" w:color="auto"/>
                                                <w:bottom w:val="single" w:sz="6" w:space="0" w:color="4D4D4D"/>
                                                <w:right w:val="none" w:sz="0" w:space="0" w:color="auto"/>
                                              </w:divBdr>
                                              <w:divsChild>
                                                <w:div w:id="8490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1830">
                                  <w:marLeft w:val="210"/>
                                  <w:marRight w:val="210"/>
                                  <w:marTop w:val="0"/>
                                  <w:marBottom w:val="0"/>
                                  <w:divBdr>
                                    <w:top w:val="none" w:sz="0" w:space="0" w:color="auto"/>
                                    <w:left w:val="none" w:sz="0" w:space="0" w:color="auto"/>
                                    <w:bottom w:val="none" w:sz="0" w:space="0" w:color="auto"/>
                                    <w:right w:val="none" w:sz="0" w:space="0" w:color="auto"/>
                                  </w:divBdr>
                                  <w:divsChild>
                                    <w:div w:id="16675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5749">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2011-03-08/Economia/NotasSecundarias/Economia2707062.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2455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2011-03-08T13:44:00Z</dcterms:created>
  <dcterms:modified xsi:type="dcterms:W3CDTF">2011-03-08T13:46:00Z</dcterms:modified>
</cp:coreProperties>
</file>