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52" w:rsidRPr="006B031E" w:rsidRDefault="006B031E">
      <w:pPr>
        <w:rPr>
          <w:lang w:val="en-US"/>
        </w:rPr>
      </w:pPr>
      <w:bookmarkStart w:id="0" w:name="_GoBack"/>
      <w:bookmarkEnd w:id="0"/>
      <w:r w:rsidRPr="006B031E">
        <w:rPr>
          <w:lang w:val="en-US"/>
        </w:rPr>
        <w:t xml:space="preserve">Enlace: </w:t>
      </w:r>
      <w:hyperlink r:id="rId6" w:history="1">
        <w:r w:rsidRPr="006B031E">
          <w:rPr>
            <w:rStyle w:val="Hipervnculo"/>
            <w:lang w:val="en-US"/>
          </w:rPr>
          <w:t>http://www.elfinancierocr.com/finanzas/PIB-2012-cuentas_nacionales_0_891510851.html</w:t>
        </w:r>
      </w:hyperlink>
    </w:p>
    <w:p w:rsidR="006B031E" w:rsidRPr="006B031E" w:rsidRDefault="006B031E">
      <w:pPr>
        <w:rPr>
          <w:lang w:val="en-US"/>
        </w:rPr>
      </w:pPr>
    </w:p>
    <w:p w:rsidR="006B031E" w:rsidRDefault="006B031E" w:rsidP="006B031E">
      <w:pPr>
        <w:pStyle w:val="kicker"/>
        <w:shd w:val="clear" w:color="auto" w:fill="FFEFE6"/>
        <w:spacing w:before="0" w:beforeAutospacing="0" w:after="45" w:afterAutospacing="0"/>
        <w:rPr>
          <w:rFonts w:ascii="Arial" w:hAnsi="Arial" w:cs="Arial"/>
          <w:b/>
          <w:bCs/>
          <w:caps/>
          <w:color w:val="127AA1"/>
          <w:sz w:val="18"/>
          <w:szCs w:val="18"/>
        </w:rPr>
      </w:pPr>
      <w:r>
        <w:rPr>
          <w:rFonts w:ascii="Arial" w:hAnsi="Arial" w:cs="Arial"/>
          <w:b/>
          <w:bCs/>
          <w:caps/>
          <w:color w:val="127AA1"/>
          <w:sz w:val="18"/>
          <w:szCs w:val="18"/>
        </w:rPr>
        <w:t>AGRICULTURA, MANUFACTURA Y COMERCIO</w:t>
      </w:r>
    </w:p>
    <w:p w:rsidR="006B031E" w:rsidRDefault="006B031E" w:rsidP="006B031E">
      <w:pPr>
        <w:pStyle w:val="Ttulo2"/>
        <w:shd w:val="clear" w:color="auto" w:fill="FFEFE6"/>
        <w:spacing w:before="0" w:beforeAutospacing="0" w:after="90" w:afterAutospacing="0"/>
        <w:rPr>
          <w:rFonts w:ascii="Georgia" w:hAnsi="Georgia" w:cs="Arial"/>
          <w:b w:val="0"/>
          <w:bCs w:val="0"/>
          <w:color w:val="363636"/>
          <w:sz w:val="54"/>
          <w:szCs w:val="54"/>
        </w:rPr>
      </w:pPr>
      <w:r>
        <w:rPr>
          <w:rFonts w:ascii="Georgia" w:hAnsi="Georgia" w:cs="Arial"/>
          <w:b w:val="0"/>
          <w:bCs w:val="0"/>
          <w:color w:val="363636"/>
          <w:sz w:val="54"/>
          <w:szCs w:val="54"/>
        </w:rPr>
        <w:t>Tres actividades económicas perdieron peso dentro de la producción de Costa Rica</w:t>
      </w:r>
    </w:p>
    <w:p w:rsidR="006B031E" w:rsidRDefault="006B031E" w:rsidP="006B031E">
      <w:pPr>
        <w:pStyle w:val="NormalWeb"/>
        <w:shd w:val="clear" w:color="auto" w:fill="FFEFE6"/>
        <w:spacing w:before="0" w:beforeAutospacing="0" w:after="0" w:afterAutospacing="0"/>
        <w:rPr>
          <w:rFonts w:ascii="Arial" w:hAnsi="Arial" w:cs="Arial"/>
          <w:b/>
          <w:bCs/>
          <w:color w:val="363636"/>
          <w:sz w:val="21"/>
          <w:szCs w:val="21"/>
        </w:rPr>
      </w:pPr>
      <w:r>
        <w:rPr>
          <w:rFonts w:ascii="Arial" w:hAnsi="Arial" w:cs="Arial"/>
          <w:b/>
          <w:bCs/>
          <w:color w:val="363636"/>
          <w:sz w:val="21"/>
          <w:szCs w:val="21"/>
        </w:rPr>
        <w:t>Las cuentas nacionales ahora toman el 2012 como nuevo año de referencia, y el cambio metológico modificó las ponderaciones de cada sector productivo</w:t>
      </w:r>
    </w:p>
    <w:p w:rsidR="006B031E" w:rsidRPr="006B031E" w:rsidRDefault="006B031E" w:rsidP="006B031E">
      <w:pPr>
        <w:pStyle w:val="NormalWeb"/>
        <w:shd w:val="clear" w:color="auto" w:fill="FFEFE6"/>
        <w:spacing w:before="0" w:beforeAutospacing="0" w:after="0" w:afterAutospacing="0"/>
        <w:rPr>
          <w:rFonts w:ascii="Arial" w:hAnsi="Arial" w:cs="Arial"/>
          <w:b/>
          <w:bCs/>
          <w:color w:val="363636"/>
          <w:sz w:val="21"/>
          <w:szCs w:val="21"/>
        </w:rPr>
      </w:pPr>
    </w:p>
    <w:p w:rsidR="006B031E" w:rsidRDefault="006B031E" w:rsidP="006B031E">
      <w:pPr>
        <w:pStyle w:val="dateline"/>
        <w:shd w:val="clear" w:color="auto" w:fill="FFEFE6"/>
        <w:spacing w:before="0" w:beforeAutospacing="0" w:after="60" w:afterAutospacing="0"/>
        <w:rPr>
          <w:rFonts w:ascii="Arial" w:hAnsi="Arial" w:cs="Arial"/>
          <w:b/>
          <w:bCs/>
          <w:color w:val="707070"/>
          <w:sz w:val="15"/>
          <w:szCs w:val="15"/>
        </w:rPr>
      </w:pPr>
      <w:r>
        <w:rPr>
          <w:rStyle w:val="author"/>
          <w:rFonts w:ascii="Arial" w:hAnsi="Arial" w:cs="Arial"/>
          <w:b/>
          <w:bCs/>
          <w:color w:val="6F1F40"/>
          <w:sz w:val="15"/>
          <w:szCs w:val="15"/>
        </w:rPr>
        <w:t>POR MARÍA FERNANDA CISNEROS / maria.cisneros@elfinancierocr.com</w:t>
      </w:r>
      <w:r>
        <w:rPr>
          <w:rStyle w:val="apple-converted-space"/>
          <w:rFonts w:ascii="Arial" w:hAnsi="Arial" w:cs="Arial"/>
          <w:b/>
          <w:bCs/>
          <w:color w:val="707070"/>
          <w:sz w:val="15"/>
          <w:szCs w:val="15"/>
        </w:rPr>
        <w:t> </w:t>
      </w:r>
      <w:r>
        <w:rPr>
          <w:rFonts w:ascii="Arial" w:hAnsi="Arial" w:cs="Arial"/>
          <w:b/>
          <w:bCs/>
          <w:color w:val="707070"/>
          <w:sz w:val="15"/>
          <w:szCs w:val="15"/>
        </w:rPr>
        <w:t>/ 26 ENE 2016, 07:28 PM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Style w:val="Textoennegrita"/>
          <w:rFonts w:ascii="Arial" w:hAnsi="Arial" w:cs="Arial"/>
          <w:color w:val="000000"/>
          <w:sz w:val="20"/>
          <w:szCs w:val="20"/>
        </w:rPr>
        <w:t>El nuevo cálculo del Producto Interno Bruto (PIB) generó que algunas actividades económicas aumentaran su peso relativo dentro de la producción, al mismo tiempo que otras percibieron una reducción</w:t>
      </w:r>
      <w:r>
        <w:rPr>
          <w:rFonts w:ascii="Arial" w:hAnsi="Arial" w:cs="Arial"/>
          <w:color w:val="363636"/>
          <w:sz w:val="20"/>
          <w:szCs w:val="20"/>
        </w:rPr>
        <w:t>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El Banco Central de Costa Rica (BCCR) dio a conocer esta tarde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000000"/>
          <w:sz w:val="20"/>
          <w:szCs w:val="20"/>
        </w:rPr>
        <w:t>el nuevo cálculo del PIB</w:t>
      </w:r>
      <w:r>
        <w:rPr>
          <w:rFonts w:ascii="Arial" w:hAnsi="Arial" w:cs="Arial"/>
          <w:color w:val="363636"/>
          <w:sz w:val="20"/>
          <w:szCs w:val="20"/>
        </w:rPr>
        <w:t>, que toma el 2012 como nuevo año de referencia y no 1991, como se mantenía hasta ahora.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La explicación del cambio en el pastel de industrias que componen el PIB se debe, más que todo, a aspectos metodológicos.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Por esa razón, la  industria de servicios que ganó participación, mientras que agricultura y manufactura perdieron espacio.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"Hoy tenemos una medición más certera de cómo es la producción nuestra, más enfocada en los servicios", indicó Olivier Castro, presidente del BCCR.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Style w:val="Textoennegrita"/>
          <w:rFonts w:ascii="Arial" w:hAnsi="Arial" w:cs="Arial"/>
          <w:color w:val="000000"/>
          <w:sz w:val="20"/>
          <w:szCs w:val="20"/>
        </w:rPr>
        <w:t>En el cálculo del PIB para el año 1966, la actividad agropecuaria pesaba 23%, mientras que el nicho de servicios aportaba solo el 10%.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El pastel o la estructura de participación de cada actividad económica cambió con la llegada del nuevo año base (2012) y, por lo tanto, muestra una fotografía distinta.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Style w:val="Textoennegrita"/>
          <w:rFonts w:ascii="Arial" w:hAnsi="Arial" w:cs="Arial"/>
          <w:color w:val="000000"/>
          <w:sz w:val="20"/>
          <w:szCs w:val="20"/>
        </w:rPr>
        <w:t>En el nuevo cálculo, el sector de agricultura aportó un 6% en la producción, y servicios el 40%, durante el 2012.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363636"/>
          <w:sz w:val="20"/>
          <w:szCs w:val="20"/>
        </w:rPr>
        <w:t>A la vez, comercio, manufactura y otros, percibieron ligeras variaciones.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La nueva medición considera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000000"/>
          <w:sz w:val="20"/>
          <w:szCs w:val="20"/>
        </w:rPr>
        <w:t>más de 70 actividades en el nicho de servicios</w:t>
      </w:r>
      <w:r>
        <w:rPr>
          <w:rFonts w:ascii="Arial" w:hAnsi="Arial" w:cs="Arial"/>
          <w:color w:val="363636"/>
          <w:sz w:val="20"/>
          <w:szCs w:val="20"/>
        </w:rPr>
        <w:t>, explicó Henry Vargas, director del Departamento de Estadística Macroeconómica del Central.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Además, la revisión de los datos del año 2012 con el nuevo año base también repercutió en los nichos económicos que componen cada industria.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lastRenderedPageBreak/>
        <w:t>Los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000000"/>
          <w:sz w:val="20"/>
          <w:szCs w:val="20"/>
        </w:rPr>
        <w:t>servicios financieros y de seguros fueron los que más bajaron su participación en la produccion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rPr>
          <w:rFonts w:ascii="Arial" w:hAnsi="Arial" w:cs="Arial"/>
          <w:color w:val="363636"/>
          <w:sz w:val="20"/>
          <w:szCs w:val="20"/>
        </w:rPr>
        <w:t>(20%), al comparar los resultados del 2012 (tomando como año base 1991) y la nueva medición del 2012.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En cambio, las actividades inmobiliarias fueron las que más cambiaron su ponderación al alza con el nuevo año base. La revisión hizo que el nicho subiera 227%.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Vargas explicó que gran parte de estos cambios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000000"/>
          <w:sz w:val="20"/>
          <w:szCs w:val="20"/>
        </w:rPr>
        <w:t>se deben al ajuste metodológico</w:t>
      </w:r>
      <w:r>
        <w:rPr>
          <w:rFonts w:ascii="Arial" w:hAnsi="Arial" w:cs="Arial"/>
          <w:color w:val="363636"/>
          <w:sz w:val="20"/>
          <w:szCs w:val="20"/>
        </w:rPr>
        <w:t>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</w:p>
    <w:p w:rsidR="006B031E" w:rsidRDefault="006B031E" w:rsidP="006B031E">
      <w:pPr>
        <w:pStyle w:val="Ttulo3"/>
        <w:shd w:val="clear" w:color="auto" w:fill="FFEFE6"/>
        <w:spacing w:before="0" w:beforeAutospacing="0" w:after="30" w:afterAutospacing="0" w:line="420" w:lineRule="atLeast"/>
        <w:jc w:val="both"/>
        <w:rPr>
          <w:rFonts w:ascii="Arial" w:hAnsi="Arial" w:cs="Arial"/>
          <w:b w:val="0"/>
          <w:bCs w:val="0"/>
          <w:color w:val="6C8192"/>
          <w:sz w:val="30"/>
          <w:szCs w:val="30"/>
        </w:rPr>
      </w:pPr>
      <w:r>
        <w:rPr>
          <w:rFonts w:ascii="Arial" w:hAnsi="Arial" w:cs="Arial"/>
          <w:b w:val="0"/>
          <w:bCs w:val="0"/>
          <w:color w:val="6C8192"/>
          <w:sz w:val="30"/>
          <w:szCs w:val="30"/>
        </w:rPr>
        <w:t>Explicaciones metodológicas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El país ha cambiado su año de referencia del cálculo en varias ocasiones (1966, 1991 y 2012), con el fin de mostrar una fotografía de la producción más certera y apegada a la actualidad, por lo que se considera que la medición de cada uno de esos años es la más precisa.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Las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000000"/>
          <w:sz w:val="20"/>
          <w:szCs w:val="20"/>
        </w:rPr>
        <w:t>ponderaciones de cada industria en la producción deben percibirse como una fotografía de cada uno de esos años</w:t>
      </w:r>
      <w:r>
        <w:rPr>
          <w:rFonts w:ascii="Arial" w:hAnsi="Arial" w:cs="Arial"/>
          <w:color w:val="363636"/>
          <w:sz w:val="20"/>
          <w:szCs w:val="20"/>
        </w:rPr>
        <w:t>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La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000000"/>
          <w:sz w:val="20"/>
          <w:szCs w:val="20"/>
        </w:rPr>
        <w:t>variación en el peso relativo de cada actividad económica puede deberse, no solo a un ensanchamiento o contracción del sector, sino también a nuevas clasificaciones de actividades, cambios metodológicos y a mejoras en la estadística básica del cálculo</w:t>
      </w:r>
      <w:r>
        <w:rPr>
          <w:rFonts w:ascii="Arial" w:hAnsi="Arial" w:cs="Arial"/>
          <w:color w:val="363636"/>
          <w:sz w:val="20"/>
          <w:szCs w:val="20"/>
        </w:rPr>
        <w:t>.</w:t>
      </w:r>
    </w:p>
    <w:p w:rsid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Por el momento, las cifras a las que se les aplicó el cambio metodológico corresponden a los datos de 2012 y</w:t>
      </w:r>
      <w:r>
        <w:rPr>
          <w:rStyle w:val="Textoennegrita"/>
          <w:rFonts w:ascii="Arial" w:hAnsi="Arial" w:cs="Arial"/>
          <w:color w:val="000000"/>
          <w:sz w:val="20"/>
          <w:szCs w:val="20"/>
        </w:rPr>
        <w:t>de manera paulatina se irán actualizando el resto de años para llegar al 2015</w:t>
      </w:r>
      <w:r>
        <w:rPr>
          <w:rFonts w:ascii="Arial" w:hAnsi="Arial" w:cs="Arial"/>
          <w:color w:val="363636"/>
          <w:sz w:val="20"/>
          <w:szCs w:val="20"/>
        </w:rPr>
        <w:t>.</w:t>
      </w:r>
    </w:p>
    <w:p w:rsidR="006B031E" w:rsidRPr="006B031E" w:rsidRDefault="006B031E" w:rsidP="006B031E">
      <w:pPr>
        <w:pStyle w:val="mce"/>
        <w:shd w:val="clear" w:color="auto" w:fill="FFEFE6"/>
        <w:spacing w:before="0" w:beforeAutospacing="0" w:after="180" w:afterAutospacing="0" w:line="300" w:lineRule="atLeast"/>
        <w:jc w:val="both"/>
        <w:rPr>
          <w:rFonts w:ascii="Arial" w:hAnsi="Arial" w:cs="Arial"/>
          <w:color w:val="363636"/>
          <w:sz w:val="20"/>
          <w:szCs w:val="20"/>
        </w:rPr>
      </w:pPr>
      <w:r>
        <w:rPr>
          <w:rFonts w:ascii="Arial" w:hAnsi="Arial" w:cs="Arial"/>
          <w:color w:val="363636"/>
          <w:sz w:val="20"/>
          <w:szCs w:val="20"/>
        </w:rPr>
        <w:t>Además, la autoridad monetaria</w:t>
      </w:r>
      <w:r>
        <w:rPr>
          <w:rStyle w:val="apple-converted-space"/>
          <w:rFonts w:ascii="Arial" w:hAnsi="Arial" w:cs="Arial"/>
          <w:color w:val="363636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000000"/>
          <w:sz w:val="20"/>
          <w:szCs w:val="20"/>
        </w:rPr>
        <w:t>trabajará en una base de datos histórica desde el año 2000</w:t>
      </w:r>
      <w:r>
        <w:rPr>
          <w:rFonts w:ascii="Arial" w:hAnsi="Arial" w:cs="Arial"/>
          <w:color w:val="363636"/>
          <w:sz w:val="20"/>
          <w:szCs w:val="20"/>
        </w:rPr>
        <w:t>, con el fin de tener un compedio estadístico que sí permita ver la evolución real de la producción nacional y el comportamiento de cada actividad económica.</w:t>
      </w:r>
    </w:p>
    <w:sectPr w:rsidR="006B031E" w:rsidRPr="006B0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F92"/>
    <w:multiLevelType w:val="multilevel"/>
    <w:tmpl w:val="B3C8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D2500"/>
    <w:multiLevelType w:val="multilevel"/>
    <w:tmpl w:val="327C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1E"/>
    <w:rsid w:val="006B031E"/>
    <w:rsid w:val="009825EE"/>
    <w:rsid w:val="00A9600A"/>
    <w:rsid w:val="00B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B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031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B031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B031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kicker">
    <w:name w:val="kicker"/>
    <w:basedOn w:val="Normal"/>
    <w:rsid w:val="006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6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n-widget">
    <w:name w:val="in-widget"/>
    <w:basedOn w:val="Fuentedeprrafopredeter"/>
    <w:rsid w:val="006B031E"/>
  </w:style>
  <w:style w:type="character" w:customStyle="1" w:styleId="apple-converted-space">
    <w:name w:val="apple-converted-space"/>
    <w:basedOn w:val="Fuentedeprrafopredeter"/>
    <w:rsid w:val="006B031E"/>
  </w:style>
  <w:style w:type="paragraph" w:customStyle="1" w:styleId="dateline">
    <w:name w:val="dateline"/>
    <w:basedOn w:val="Normal"/>
    <w:rsid w:val="006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uthor">
    <w:name w:val="author"/>
    <w:basedOn w:val="Fuentedeprrafopredeter"/>
    <w:rsid w:val="006B031E"/>
  </w:style>
  <w:style w:type="paragraph" w:customStyle="1" w:styleId="mce">
    <w:name w:val="mce"/>
    <w:basedOn w:val="Normal"/>
    <w:rsid w:val="006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B0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B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031E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B031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B031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kicker">
    <w:name w:val="kicker"/>
    <w:basedOn w:val="Normal"/>
    <w:rsid w:val="006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6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n-widget">
    <w:name w:val="in-widget"/>
    <w:basedOn w:val="Fuentedeprrafopredeter"/>
    <w:rsid w:val="006B031E"/>
  </w:style>
  <w:style w:type="character" w:customStyle="1" w:styleId="apple-converted-space">
    <w:name w:val="apple-converted-space"/>
    <w:basedOn w:val="Fuentedeprrafopredeter"/>
    <w:rsid w:val="006B031E"/>
  </w:style>
  <w:style w:type="paragraph" w:customStyle="1" w:styleId="dateline">
    <w:name w:val="dateline"/>
    <w:basedOn w:val="Normal"/>
    <w:rsid w:val="006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uthor">
    <w:name w:val="author"/>
    <w:basedOn w:val="Fuentedeprrafopredeter"/>
    <w:rsid w:val="006B031E"/>
  </w:style>
  <w:style w:type="paragraph" w:customStyle="1" w:styleId="mce">
    <w:name w:val="mce"/>
    <w:basedOn w:val="Normal"/>
    <w:rsid w:val="006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B0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5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19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financierocr.com/finanzas/PIB-2012-cuentas_nacionales_0_89151085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3102</Characters>
  <Application>Microsoft Office Word</Application>
  <DocSecurity>4</DocSecurity>
  <Lines>25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Sandi barquero</dc:creator>
  <cp:lastModifiedBy>Elia Ruiz</cp:lastModifiedBy>
  <cp:revision>2</cp:revision>
  <dcterms:created xsi:type="dcterms:W3CDTF">2016-01-27T17:05:00Z</dcterms:created>
  <dcterms:modified xsi:type="dcterms:W3CDTF">2016-01-27T17:05:00Z</dcterms:modified>
</cp:coreProperties>
</file>