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42" w:rsidRPr="00D94542" w:rsidRDefault="00D94542" w:rsidP="00D94542">
      <w:pPr>
        <w:rPr>
          <w:lang w:val="en-US" w:eastAsia="es-CR"/>
        </w:rPr>
      </w:pPr>
      <w:r w:rsidRPr="00D94542">
        <w:rPr>
          <w:lang w:val="en-US" w:eastAsia="es-CR"/>
        </w:rPr>
        <w:t xml:space="preserve">Enlace: </w:t>
      </w:r>
      <w:hyperlink r:id="rId5" w:history="1">
        <w:r w:rsidRPr="00D94542">
          <w:rPr>
            <w:rStyle w:val="Hipervnculo"/>
            <w:lang w:val="en-US" w:eastAsia="es-CR"/>
          </w:rPr>
          <w:t>http://www.diarioextra.com/2012/enero/14/nacionales01.php</w:t>
        </w:r>
      </w:hyperlink>
    </w:p>
    <w:p w:rsidR="00D94542" w:rsidRPr="00D94542" w:rsidRDefault="00D94542" w:rsidP="00D94542">
      <w:pPr>
        <w:spacing w:before="300" w:after="0" w:line="240" w:lineRule="auto"/>
        <w:jc w:val="center"/>
        <w:outlineLvl w:val="2"/>
        <w:rPr>
          <w:rFonts w:ascii="Verdana" w:eastAsia="Times New Roman" w:hAnsi="Verdana" w:cs="Times New Roman"/>
          <w:b/>
          <w:bCs/>
          <w:color w:val="607494"/>
          <w:sz w:val="23"/>
          <w:szCs w:val="23"/>
          <w:lang w:eastAsia="es-CR"/>
        </w:rPr>
      </w:pPr>
      <w:r w:rsidRPr="00D94542">
        <w:rPr>
          <w:rFonts w:ascii="Verdana" w:eastAsia="Times New Roman" w:hAnsi="Verdana" w:cs="Times New Roman"/>
          <w:b/>
          <w:bCs/>
          <w:color w:val="607494"/>
          <w:sz w:val="23"/>
          <w:szCs w:val="23"/>
          <w:lang w:eastAsia="es-CR"/>
        </w:rPr>
        <w:t>• Como adelantó DIARIO EXTRA, para 175 mil trabajadores</w:t>
      </w:r>
    </w:p>
    <w:p w:rsidR="00D94542" w:rsidRPr="00D94542" w:rsidRDefault="00D94542" w:rsidP="00D94542">
      <w:pPr>
        <w:spacing w:before="100" w:beforeAutospacing="1" w:after="100" w:afterAutospacing="1" w:line="240" w:lineRule="auto"/>
        <w:jc w:val="center"/>
        <w:outlineLvl w:val="0"/>
        <w:rPr>
          <w:rFonts w:ascii="Verdana" w:eastAsia="Times New Roman" w:hAnsi="Verdana" w:cs="Times New Roman"/>
          <w:b/>
          <w:bCs/>
          <w:color w:val="18307E"/>
          <w:kern w:val="36"/>
          <w:sz w:val="36"/>
          <w:szCs w:val="36"/>
          <w:lang w:eastAsia="es-CR"/>
        </w:rPr>
      </w:pPr>
      <w:bookmarkStart w:id="0" w:name="_GoBack"/>
      <w:r w:rsidRPr="00D94542">
        <w:rPr>
          <w:rFonts w:ascii="Verdana" w:eastAsia="Times New Roman" w:hAnsi="Verdana" w:cs="Times New Roman"/>
          <w:b/>
          <w:bCs/>
          <w:color w:val="18307E"/>
          <w:kern w:val="36"/>
          <w:sz w:val="36"/>
          <w:szCs w:val="36"/>
          <w:lang w:eastAsia="es-CR"/>
        </w:rPr>
        <w:t>EN MEDIO DE POLVORÍN FIJAN DECRETAZO SALARIAL DE ¢5 MIL</w:t>
      </w:r>
    </w:p>
    <w:bookmarkEnd w:id="0"/>
    <w:p w:rsidR="00D94542" w:rsidRPr="00D94542" w:rsidRDefault="00D94542" w:rsidP="00D94542">
      <w:pPr>
        <w:spacing w:before="100" w:beforeAutospacing="1" w:after="100" w:afterAutospacing="1" w:line="240" w:lineRule="auto"/>
        <w:outlineLvl w:val="3"/>
        <w:rPr>
          <w:rFonts w:ascii="Verdana" w:eastAsia="Times New Roman" w:hAnsi="Verdana" w:cs="Times New Roman"/>
          <w:b/>
          <w:bCs/>
          <w:color w:val="004B97"/>
          <w:sz w:val="20"/>
          <w:szCs w:val="20"/>
          <w:lang w:val="en-US" w:eastAsia="es-CR"/>
        </w:rPr>
      </w:pPr>
      <w:r w:rsidRPr="00D94542">
        <w:rPr>
          <w:rFonts w:ascii="Verdana" w:eastAsia="Times New Roman" w:hAnsi="Verdana" w:cs="Times New Roman"/>
          <w:b/>
          <w:bCs/>
          <w:color w:val="004B97"/>
          <w:sz w:val="20"/>
          <w:szCs w:val="20"/>
          <w:lang w:val="en-US" w:eastAsia="es-CR"/>
        </w:rPr>
        <w:t>KRISSIA MORRIS GRAY</w:t>
      </w:r>
      <w:r w:rsidRPr="00D94542">
        <w:rPr>
          <w:rFonts w:ascii="Verdana" w:eastAsia="Times New Roman" w:hAnsi="Verdana" w:cs="Times New Roman"/>
          <w:b/>
          <w:bCs/>
          <w:color w:val="004B97"/>
          <w:sz w:val="20"/>
          <w:szCs w:val="20"/>
          <w:lang w:val="en-US" w:eastAsia="es-CR"/>
        </w:rPr>
        <w:br/>
        <w:t>kmorris@diarioextra.com</w:t>
      </w:r>
    </w:p>
    <w:tbl>
      <w:tblPr>
        <w:tblpPr w:leftFromText="45" w:rightFromText="45" w:vertAnchor="text" w:tblpXSpec="right" w:tblpYSpec="center"/>
        <w:tblW w:w="3600" w:type="dxa"/>
        <w:tblCellSpacing w:w="45" w:type="dxa"/>
        <w:tblCellMar>
          <w:left w:w="0" w:type="dxa"/>
          <w:right w:w="0" w:type="dxa"/>
        </w:tblCellMar>
        <w:tblLook w:val="04A0" w:firstRow="1" w:lastRow="0" w:firstColumn="1" w:lastColumn="0" w:noHBand="0" w:noVBand="1"/>
      </w:tblPr>
      <w:tblGrid>
        <w:gridCol w:w="3780"/>
      </w:tblGrid>
      <w:tr w:rsidR="00D94542" w:rsidRPr="00D94542">
        <w:trPr>
          <w:tblCellSpacing w:w="45" w:type="dxa"/>
        </w:trPr>
        <w:tc>
          <w:tcPr>
            <w:tcW w:w="0" w:type="auto"/>
            <w:vAlign w:val="center"/>
            <w:hideMark/>
          </w:tcPr>
          <w:p w:rsidR="00D94542" w:rsidRPr="00D94542" w:rsidRDefault="00D94542" w:rsidP="00D94542">
            <w:pPr>
              <w:spacing w:after="0" w:line="240" w:lineRule="auto"/>
              <w:rPr>
                <w:rFonts w:ascii="Verdana" w:eastAsia="Times New Roman" w:hAnsi="Verdana" w:cs="Times New Roman"/>
                <w:color w:val="3C4452"/>
                <w:sz w:val="18"/>
                <w:szCs w:val="18"/>
                <w:lang w:eastAsia="es-CR"/>
              </w:rPr>
            </w:pPr>
            <w:r>
              <w:rPr>
                <w:rFonts w:ascii="Verdana" w:eastAsia="Times New Roman" w:hAnsi="Verdana" w:cs="Times New Roman"/>
                <w:noProof/>
                <w:color w:val="3C4452"/>
                <w:sz w:val="18"/>
                <w:szCs w:val="18"/>
                <w:lang w:eastAsia="es-CR"/>
              </w:rPr>
              <w:drawing>
                <wp:inline distT="0" distB="0" distL="0" distR="0">
                  <wp:extent cx="2286000" cy="1511300"/>
                  <wp:effectExtent l="0" t="0" r="0" b="0"/>
                  <wp:docPr id="1" name="Imagen 1" descr="http://www.diarioextra.com/2012/enero/14/images/nac01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arioextra.com/2012/enero/14/images/nac01p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511300"/>
                          </a:xfrm>
                          <a:prstGeom prst="rect">
                            <a:avLst/>
                          </a:prstGeom>
                          <a:noFill/>
                          <a:ln>
                            <a:noFill/>
                          </a:ln>
                        </pic:spPr>
                      </pic:pic>
                    </a:graphicData>
                  </a:graphic>
                </wp:inline>
              </w:drawing>
            </w:r>
          </w:p>
        </w:tc>
      </w:tr>
      <w:tr w:rsidR="00D94542" w:rsidRPr="00D94542">
        <w:trPr>
          <w:tblCellSpacing w:w="45" w:type="dxa"/>
        </w:trPr>
        <w:tc>
          <w:tcPr>
            <w:tcW w:w="0" w:type="auto"/>
            <w:vAlign w:val="center"/>
            <w:hideMark/>
          </w:tcPr>
          <w:p w:rsidR="00D94542" w:rsidRPr="00D94542" w:rsidRDefault="00D94542" w:rsidP="00D94542">
            <w:pPr>
              <w:shd w:val="clear" w:color="auto" w:fill="EFF3FF"/>
              <w:spacing w:before="100" w:beforeAutospacing="1" w:after="100" w:afterAutospacing="1" w:line="240" w:lineRule="auto"/>
              <w:outlineLvl w:val="4"/>
              <w:rPr>
                <w:rFonts w:ascii="Verdana" w:eastAsia="Times New Roman" w:hAnsi="Verdana" w:cs="Times New Roman"/>
                <w:color w:val="00297B"/>
                <w:sz w:val="15"/>
                <w:szCs w:val="15"/>
                <w:lang w:eastAsia="es-CR"/>
              </w:rPr>
            </w:pPr>
            <w:r w:rsidRPr="00D94542">
              <w:rPr>
                <w:rFonts w:ascii="Verdana" w:eastAsia="Times New Roman" w:hAnsi="Verdana" w:cs="Times New Roman"/>
                <w:color w:val="00297B"/>
                <w:sz w:val="15"/>
                <w:szCs w:val="15"/>
                <w:lang w:eastAsia="es-CR"/>
              </w:rPr>
              <w:t>El Poder Ejecutivo procedió a fijar el alza salarial de ¢5 mil, vía decretazo, que entrará en vigencia para la segunda quincena de febrero.</w:t>
            </w:r>
          </w:p>
        </w:tc>
      </w:tr>
    </w:tbl>
    <w:p w:rsidR="00D94542" w:rsidRPr="00D94542" w:rsidRDefault="00D94542" w:rsidP="00D94542">
      <w:pPr>
        <w:spacing w:after="0" w:line="240" w:lineRule="auto"/>
        <w:outlineLvl w:val="2"/>
        <w:rPr>
          <w:rFonts w:ascii="Verdana" w:eastAsia="Times New Roman" w:hAnsi="Verdana" w:cs="Times New Roman"/>
          <w:b/>
          <w:bCs/>
          <w:color w:val="607494"/>
          <w:sz w:val="23"/>
          <w:szCs w:val="23"/>
          <w:lang w:eastAsia="es-CR"/>
        </w:rPr>
      </w:pPr>
      <w:r w:rsidRPr="00D94542">
        <w:rPr>
          <w:rFonts w:ascii="Verdana" w:eastAsia="Times New Roman" w:hAnsi="Verdana" w:cs="Times New Roman"/>
          <w:b/>
          <w:bCs/>
          <w:color w:val="607494"/>
          <w:sz w:val="23"/>
          <w:szCs w:val="23"/>
          <w:lang w:eastAsia="es-CR"/>
        </w:rPr>
        <w:t xml:space="preserve">Una reunión entre representantes del gobierno y sindicatos se convirtió en un ring de boxeo y la pelea llegó a su punto más alto cuando la ministra de Trabajo, Sandra </w:t>
      </w:r>
      <w:proofErr w:type="spellStart"/>
      <w:r w:rsidRPr="00D94542">
        <w:rPr>
          <w:rFonts w:ascii="Verdana" w:eastAsia="Times New Roman" w:hAnsi="Verdana" w:cs="Times New Roman"/>
          <w:b/>
          <w:bCs/>
          <w:color w:val="607494"/>
          <w:sz w:val="23"/>
          <w:szCs w:val="23"/>
          <w:lang w:eastAsia="es-CR"/>
        </w:rPr>
        <w:t>Piszk</w:t>
      </w:r>
      <w:proofErr w:type="spellEnd"/>
      <w:r w:rsidRPr="00D94542">
        <w:rPr>
          <w:rFonts w:ascii="Verdana" w:eastAsia="Times New Roman" w:hAnsi="Verdana" w:cs="Times New Roman"/>
          <w:b/>
          <w:bCs/>
          <w:color w:val="607494"/>
          <w:sz w:val="23"/>
          <w:szCs w:val="23"/>
          <w:lang w:eastAsia="es-CR"/>
        </w:rPr>
        <w:t xml:space="preserve">, anunció que ante la falta de negociación, el Poder Ejecutivo fijaba, vía decretazo, tal y como lo adelantó DIARIO EXTRA, el alza salarial para los 175 mil empleados del sector público que será de ¢5 mil a la base, pero esta cifra se traducirá en más, debido a que la mayoría de los trabajadores tienen pluses salariales, por lo que el aumento final puede rondar entre los ¢6.800 hasta ¢10 mil, incluso más. </w:t>
      </w:r>
    </w:p>
    <w:p w:rsidR="00D94542" w:rsidRPr="00D94542" w:rsidRDefault="00D94542" w:rsidP="00D94542">
      <w:pPr>
        <w:spacing w:before="100" w:beforeAutospacing="1" w:after="100" w:afterAutospacing="1" w:line="240" w:lineRule="auto"/>
        <w:outlineLvl w:val="3"/>
        <w:rPr>
          <w:rFonts w:ascii="Verdana" w:eastAsia="Times New Roman" w:hAnsi="Verdana" w:cs="Times New Roman"/>
          <w:b/>
          <w:bCs/>
          <w:color w:val="515D68"/>
          <w:sz w:val="18"/>
          <w:szCs w:val="18"/>
          <w:lang w:eastAsia="es-CR"/>
        </w:rPr>
      </w:pPr>
      <w:r w:rsidRPr="00D94542">
        <w:rPr>
          <w:rFonts w:ascii="Verdana" w:eastAsia="Times New Roman" w:hAnsi="Verdana" w:cs="Times New Roman"/>
          <w:b/>
          <w:bCs/>
          <w:color w:val="515D68"/>
          <w:sz w:val="18"/>
          <w:szCs w:val="18"/>
          <w:lang w:eastAsia="es-CR"/>
        </w:rPr>
        <w:t xml:space="preserve">Dedicación exclusiva, anualidad, carrera profesional y salario escolar, son algunos de los pluses que componen los salarios del sector público. El aumento entrará a regir para la segunda quincena de febrero, de manera retroactiva al 1° de enero. </w:t>
      </w:r>
    </w:p>
    <w:p w:rsidR="00D94542" w:rsidRPr="00D94542" w:rsidRDefault="00D94542" w:rsidP="00D94542">
      <w:pPr>
        <w:spacing w:before="100" w:beforeAutospacing="1" w:after="100" w:afterAutospacing="1" w:line="240" w:lineRule="auto"/>
        <w:outlineLvl w:val="3"/>
        <w:rPr>
          <w:rFonts w:ascii="Verdana" w:eastAsia="Times New Roman" w:hAnsi="Verdana" w:cs="Times New Roman"/>
          <w:b/>
          <w:bCs/>
          <w:color w:val="515D68"/>
          <w:sz w:val="18"/>
          <w:szCs w:val="18"/>
          <w:lang w:eastAsia="es-CR"/>
        </w:rPr>
      </w:pPr>
      <w:r w:rsidRPr="00D94542">
        <w:rPr>
          <w:rFonts w:ascii="Verdana" w:eastAsia="Times New Roman" w:hAnsi="Verdana" w:cs="Times New Roman"/>
          <w:b/>
          <w:bCs/>
          <w:color w:val="515D68"/>
          <w:sz w:val="18"/>
          <w:szCs w:val="18"/>
          <w:lang w:eastAsia="es-CR"/>
        </w:rPr>
        <w:t xml:space="preserve">A manera de ejemplo, un conserje tiene como salario base ¢209.050, pero al tomar en consideración el alza y los pluses se traducirá en ¢6.800 más. </w:t>
      </w:r>
    </w:p>
    <w:p w:rsidR="00D94542" w:rsidRPr="00D94542" w:rsidRDefault="00D94542" w:rsidP="00D94542">
      <w:pPr>
        <w:spacing w:before="100" w:beforeAutospacing="1" w:after="100" w:afterAutospacing="1" w:line="240" w:lineRule="auto"/>
        <w:outlineLvl w:val="3"/>
        <w:rPr>
          <w:rFonts w:ascii="Verdana" w:eastAsia="Times New Roman" w:hAnsi="Verdana" w:cs="Times New Roman"/>
          <w:b/>
          <w:bCs/>
          <w:color w:val="515D68"/>
          <w:sz w:val="18"/>
          <w:szCs w:val="18"/>
          <w:lang w:eastAsia="es-CR"/>
        </w:rPr>
      </w:pPr>
      <w:r w:rsidRPr="00D94542">
        <w:rPr>
          <w:rFonts w:ascii="Verdana" w:eastAsia="Times New Roman" w:hAnsi="Verdana" w:cs="Times New Roman"/>
          <w:b/>
          <w:bCs/>
          <w:color w:val="515D68"/>
          <w:sz w:val="18"/>
          <w:szCs w:val="18"/>
          <w:lang w:eastAsia="es-CR"/>
        </w:rPr>
        <w:t xml:space="preserve">En el caso de un profesional este recibirá ¢9.550 de más, monto que involucra los ¢5 mil y ¢4.550 por concepto de pluses. </w:t>
      </w:r>
    </w:p>
    <w:p w:rsidR="00D94542" w:rsidRPr="00D94542" w:rsidRDefault="00D94542" w:rsidP="00D94542">
      <w:pPr>
        <w:spacing w:before="300" w:after="0" w:line="240" w:lineRule="auto"/>
        <w:jc w:val="center"/>
        <w:outlineLvl w:val="2"/>
        <w:rPr>
          <w:rFonts w:ascii="Verdana" w:eastAsia="Times New Roman" w:hAnsi="Verdana" w:cs="Times New Roman"/>
          <w:b/>
          <w:bCs/>
          <w:color w:val="607494"/>
          <w:sz w:val="23"/>
          <w:szCs w:val="23"/>
          <w:lang w:eastAsia="es-CR"/>
        </w:rPr>
      </w:pPr>
      <w:r w:rsidRPr="00D94542">
        <w:rPr>
          <w:rFonts w:ascii="Verdana" w:eastAsia="Times New Roman" w:hAnsi="Verdana" w:cs="Times New Roman"/>
          <w:b/>
          <w:bCs/>
          <w:color w:val="607494"/>
          <w:sz w:val="23"/>
          <w:szCs w:val="23"/>
          <w:lang w:eastAsia="es-CR"/>
        </w:rPr>
        <w:t>CONTRA CONDICIONAMIENTO</w:t>
      </w:r>
    </w:p>
    <w:p w:rsidR="00D94542" w:rsidRPr="00D94542" w:rsidRDefault="00D94542" w:rsidP="00D94542">
      <w:pPr>
        <w:spacing w:before="100" w:beforeAutospacing="1" w:after="100" w:afterAutospacing="1" w:line="240" w:lineRule="auto"/>
        <w:outlineLvl w:val="3"/>
        <w:rPr>
          <w:rFonts w:ascii="Verdana" w:eastAsia="Times New Roman" w:hAnsi="Verdana" w:cs="Times New Roman"/>
          <w:b/>
          <w:bCs/>
          <w:color w:val="515D68"/>
          <w:sz w:val="18"/>
          <w:szCs w:val="18"/>
          <w:lang w:eastAsia="es-CR"/>
        </w:rPr>
      </w:pPr>
      <w:r w:rsidRPr="00D94542">
        <w:rPr>
          <w:rFonts w:ascii="Verdana" w:eastAsia="Times New Roman" w:hAnsi="Verdana" w:cs="Times New Roman"/>
          <w:b/>
          <w:bCs/>
          <w:color w:val="515D68"/>
          <w:sz w:val="18"/>
          <w:szCs w:val="18"/>
          <w:lang w:eastAsia="es-CR"/>
        </w:rPr>
        <w:t xml:space="preserve">La decisión causó la molestia de los tres delegados del sector sindical que llegaron ayer con la intención de recoger una respuesta del gobierno sobre la vigencia de la Comisión Nacional de Salarios del Sector Público, en vista de la aplicación de un decreto que le da a la Autoridad Presupuestaria la rectoría en materia de empleo y salarios de los burócratas. </w:t>
      </w:r>
    </w:p>
    <w:p w:rsidR="00D94542" w:rsidRPr="00D94542" w:rsidRDefault="00D94542" w:rsidP="00D94542">
      <w:pPr>
        <w:spacing w:before="100" w:beforeAutospacing="1" w:after="100" w:afterAutospacing="1" w:line="240" w:lineRule="auto"/>
        <w:outlineLvl w:val="3"/>
        <w:rPr>
          <w:rFonts w:ascii="Verdana" w:eastAsia="Times New Roman" w:hAnsi="Verdana" w:cs="Times New Roman"/>
          <w:b/>
          <w:bCs/>
          <w:color w:val="515D68"/>
          <w:sz w:val="18"/>
          <w:szCs w:val="18"/>
          <w:lang w:eastAsia="es-CR"/>
        </w:rPr>
      </w:pPr>
      <w:r w:rsidRPr="00D94542">
        <w:rPr>
          <w:rFonts w:ascii="Verdana" w:eastAsia="Times New Roman" w:hAnsi="Verdana" w:cs="Times New Roman"/>
          <w:b/>
          <w:bCs/>
          <w:color w:val="515D68"/>
          <w:sz w:val="18"/>
          <w:szCs w:val="18"/>
          <w:lang w:eastAsia="es-CR"/>
        </w:rPr>
        <w:t xml:space="preserve">Sandra </w:t>
      </w:r>
      <w:proofErr w:type="spellStart"/>
      <w:r w:rsidRPr="00D94542">
        <w:rPr>
          <w:rFonts w:ascii="Verdana" w:eastAsia="Times New Roman" w:hAnsi="Verdana" w:cs="Times New Roman"/>
          <w:b/>
          <w:bCs/>
          <w:color w:val="515D68"/>
          <w:sz w:val="18"/>
          <w:szCs w:val="18"/>
          <w:lang w:eastAsia="es-CR"/>
        </w:rPr>
        <w:t>Piszk</w:t>
      </w:r>
      <w:proofErr w:type="spellEnd"/>
      <w:r w:rsidRPr="00D94542">
        <w:rPr>
          <w:rFonts w:ascii="Verdana" w:eastAsia="Times New Roman" w:hAnsi="Verdana" w:cs="Times New Roman"/>
          <w:b/>
          <w:bCs/>
          <w:color w:val="515D68"/>
          <w:sz w:val="18"/>
          <w:szCs w:val="18"/>
          <w:lang w:eastAsia="es-CR"/>
        </w:rPr>
        <w:t xml:space="preserve">, ministra de Trabajo, se mostró opuesta a que los sindicatos condicionaran la negociación a un tema que a su criterio no está relacionado y que puede desarrollarse en otro momento. Reconoció que era un incremento modesto, pero que era lo más que el gobierno podía ofrecer, debido a la crítica situación fiscal en la que se encuentra el país. </w:t>
      </w:r>
    </w:p>
    <w:p w:rsidR="00D94542" w:rsidRPr="00D94542" w:rsidRDefault="00D94542" w:rsidP="00D94542">
      <w:pPr>
        <w:spacing w:before="100" w:beforeAutospacing="1" w:after="100" w:afterAutospacing="1" w:line="240" w:lineRule="auto"/>
        <w:outlineLvl w:val="3"/>
        <w:rPr>
          <w:rFonts w:ascii="Verdana" w:eastAsia="Times New Roman" w:hAnsi="Verdana" w:cs="Times New Roman"/>
          <w:b/>
          <w:bCs/>
          <w:color w:val="515D68"/>
          <w:sz w:val="18"/>
          <w:szCs w:val="18"/>
          <w:lang w:eastAsia="es-CR"/>
        </w:rPr>
      </w:pPr>
      <w:r w:rsidRPr="00D94542">
        <w:rPr>
          <w:rFonts w:ascii="Verdana" w:eastAsia="Times New Roman" w:hAnsi="Verdana" w:cs="Times New Roman"/>
          <w:b/>
          <w:bCs/>
          <w:color w:val="515D68"/>
          <w:sz w:val="18"/>
          <w:szCs w:val="18"/>
          <w:lang w:eastAsia="es-CR"/>
        </w:rPr>
        <w:lastRenderedPageBreak/>
        <w:t xml:space="preserve">“No vamos a aceptar que por una duda, una especulación se frene la decisión del gobierno, por eso va el decreto”, reafirmó </w:t>
      </w:r>
      <w:proofErr w:type="spellStart"/>
      <w:r w:rsidRPr="00D94542">
        <w:rPr>
          <w:rFonts w:ascii="Verdana" w:eastAsia="Times New Roman" w:hAnsi="Verdana" w:cs="Times New Roman"/>
          <w:b/>
          <w:bCs/>
          <w:color w:val="515D68"/>
          <w:sz w:val="18"/>
          <w:szCs w:val="18"/>
          <w:lang w:eastAsia="es-CR"/>
        </w:rPr>
        <w:t>Piszk</w:t>
      </w:r>
      <w:proofErr w:type="spellEnd"/>
      <w:r w:rsidRPr="00D94542">
        <w:rPr>
          <w:rFonts w:ascii="Verdana" w:eastAsia="Times New Roman" w:hAnsi="Verdana" w:cs="Times New Roman"/>
          <w:b/>
          <w:bCs/>
          <w:color w:val="515D68"/>
          <w:sz w:val="18"/>
          <w:szCs w:val="18"/>
          <w:lang w:eastAsia="es-CR"/>
        </w:rPr>
        <w:t xml:space="preserve">, quien dejó en claro que el Ejecutivo siempre estuvo dispuesto a negociar. </w:t>
      </w:r>
    </w:p>
    <w:p w:rsidR="00D94542" w:rsidRPr="00D94542" w:rsidRDefault="00D94542" w:rsidP="00D94542">
      <w:pPr>
        <w:spacing w:before="100" w:beforeAutospacing="1" w:after="100" w:afterAutospacing="1" w:line="240" w:lineRule="auto"/>
        <w:outlineLvl w:val="3"/>
        <w:rPr>
          <w:rFonts w:ascii="Verdana" w:eastAsia="Times New Roman" w:hAnsi="Verdana" w:cs="Times New Roman"/>
          <w:b/>
          <w:bCs/>
          <w:color w:val="515D68"/>
          <w:sz w:val="18"/>
          <w:szCs w:val="18"/>
          <w:lang w:eastAsia="es-CR"/>
        </w:rPr>
      </w:pPr>
      <w:r w:rsidRPr="00D94542">
        <w:rPr>
          <w:rFonts w:ascii="Verdana" w:eastAsia="Times New Roman" w:hAnsi="Verdana" w:cs="Times New Roman"/>
          <w:b/>
          <w:bCs/>
          <w:color w:val="515D68"/>
          <w:sz w:val="18"/>
          <w:szCs w:val="18"/>
          <w:lang w:eastAsia="es-CR"/>
        </w:rPr>
        <w:t xml:space="preserve">Franklin Benavides, secretario general de la Central General de Trabajadores (CGT), sostuvo que no fue el movimiento sindical que el rompió las negociaciones sino que apuntó directamente al gobierno, pues sostuvo que, las conversaciones del sector público se han extendido a febrero y marzo. </w:t>
      </w:r>
    </w:p>
    <w:p w:rsidR="00D94542" w:rsidRPr="00D94542" w:rsidRDefault="00D94542" w:rsidP="00D94542">
      <w:pPr>
        <w:spacing w:before="100" w:beforeAutospacing="1" w:after="100" w:afterAutospacing="1" w:line="240" w:lineRule="auto"/>
        <w:outlineLvl w:val="3"/>
        <w:rPr>
          <w:rFonts w:ascii="Verdana" w:eastAsia="Times New Roman" w:hAnsi="Verdana" w:cs="Times New Roman"/>
          <w:b/>
          <w:bCs/>
          <w:color w:val="515D68"/>
          <w:sz w:val="18"/>
          <w:szCs w:val="18"/>
          <w:lang w:eastAsia="es-CR"/>
        </w:rPr>
      </w:pPr>
      <w:r w:rsidRPr="00D94542">
        <w:rPr>
          <w:rFonts w:ascii="Verdana" w:eastAsia="Times New Roman" w:hAnsi="Verdana" w:cs="Times New Roman"/>
          <w:b/>
          <w:bCs/>
          <w:color w:val="515D68"/>
          <w:sz w:val="18"/>
          <w:szCs w:val="18"/>
          <w:lang w:eastAsia="es-CR"/>
        </w:rPr>
        <w:t xml:space="preserve">“Lo que solicitamos es un plazo razonable para analizar el documento y emitir un criterio razonado. No estamos rompiendo las conversaciones, ¿por qué la prisa este año?, porque el gobierno quiere romper un acuerdo de 2007”, comentó Benavides. </w:t>
      </w:r>
    </w:p>
    <w:p w:rsidR="00D94542" w:rsidRPr="00D94542" w:rsidRDefault="00D94542" w:rsidP="00D94542">
      <w:pPr>
        <w:spacing w:before="100" w:beforeAutospacing="1" w:after="100" w:afterAutospacing="1" w:line="240" w:lineRule="auto"/>
        <w:outlineLvl w:val="3"/>
        <w:rPr>
          <w:rFonts w:ascii="Verdana" w:eastAsia="Times New Roman" w:hAnsi="Verdana" w:cs="Times New Roman"/>
          <w:b/>
          <w:bCs/>
          <w:color w:val="515D68"/>
          <w:sz w:val="18"/>
          <w:szCs w:val="18"/>
          <w:lang w:eastAsia="es-CR"/>
        </w:rPr>
      </w:pPr>
      <w:r w:rsidRPr="00D94542">
        <w:rPr>
          <w:rFonts w:ascii="Verdana" w:eastAsia="Times New Roman" w:hAnsi="Verdana" w:cs="Times New Roman"/>
          <w:b/>
          <w:bCs/>
          <w:color w:val="515D68"/>
          <w:sz w:val="18"/>
          <w:szCs w:val="18"/>
          <w:lang w:eastAsia="es-CR"/>
        </w:rPr>
        <w:t>Edgar Morales, representante ante la Comisión por parte de la Central Social Juanito Mora Porras (CSJMP), sostuvo que el “decretazo” “lo que hace es echarle sal a la herida” y recalcó que el lunes el movimiento sindical se reunirá para definir las acciones a seguir.</w:t>
      </w:r>
    </w:p>
    <w:p w:rsidR="00D94542" w:rsidRPr="00D94542" w:rsidRDefault="00D94542" w:rsidP="00D94542">
      <w:pPr>
        <w:spacing w:after="0" w:line="240" w:lineRule="auto"/>
        <w:outlineLvl w:val="2"/>
        <w:rPr>
          <w:rFonts w:ascii="Verdana" w:eastAsia="Times New Roman" w:hAnsi="Verdana" w:cs="Times New Roman"/>
          <w:b/>
          <w:bCs/>
          <w:color w:val="607494"/>
          <w:sz w:val="23"/>
          <w:szCs w:val="23"/>
          <w:lang w:eastAsia="es-CR"/>
        </w:rPr>
      </w:pPr>
      <w:r w:rsidRPr="00D94542">
        <w:rPr>
          <w:rFonts w:ascii="Verdana" w:eastAsia="Times New Roman" w:hAnsi="Verdana" w:cs="Times New Roman"/>
          <w:b/>
          <w:bCs/>
          <w:color w:val="607494"/>
          <w:sz w:val="23"/>
          <w:szCs w:val="23"/>
          <w:lang w:eastAsia="es-CR"/>
        </w:rPr>
        <w:pict>
          <v:rect id="_x0000_i1026" style="width:0;height:1.5pt" o:hralign="center" o:hrstd="t" o:hrnoshade="t" o:hr="t" stroked="f"/>
        </w:pict>
      </w:r>
    </w:p>
    <w:p w:rsidR="00D94542" w:rsidRPr="00D94542" w:rsidRDefault="00D94542" w:rsidP="00D94542">
      <w:pPr>
        <w:spacing w:before="300" w:after="0" w:line="240" w:lineRule="auto"/>
        <w:jc w:val="center"/>
        <w:outlineLvl w:val="2"/>
        <w:rPr>
          <w:rFonts w:ascii="Verdana" w:eastAsia="Times New Roman" w:hAnsi="Verdana" w:cs="Times New Roman"/>
          <w:b/>
          <w:bCs/>
          <w:color w:val="607494"/>
          <w:sz w:val="23"/>
          <w:szCs w:val="23"/>
          <w:lang w:eastAsia="es-CR"/>
        </w:rPr>
      </w:pPr>
      <w:r w:rsidRPr="00D94542">
        <w:rPr>
          <w:rFonts w:ascii="Verdana" w:eastAsia="Times New Roman" w:hAnsi="Verdana" w:cs="Times New Roman"/>
          <w:b/>
          <w:bCs/>
          <w:color w:val="607494"/>
          <w:sz w:val="23"/>
          <w:szCs w:val="23"/>
          <w:lang w:eastAsia="es-CR"/>
        </w:rPr>
        <w:t>¿CÓMO QUEDARÍAN?</w:t>
      </w:r>
    </w:p>
    <w:tbl>
      <w:tblPr>
        <w:tblW w:w="6165" w:type="dxa"/>
        <w:tblCellSpacing w:w="0" w:type="dxa"/>
        <w:tblCellMar>
          <w:left w:w="0" w:type="dxa"/>
          <w:right w:w="0" w:type="dxa"/>
        </w:tblCellMar>
        <w:tblLook w:val="04A0" w:firstRow="1" w:lastRow="0" w:firstColumn="1" w:lastColumn="0" w:noHBand="0" w:noVBand="1"/>
      </w:tblPr>
      <w:tblGrid>
        <w:gridCol w:w="1185"/>
        <w:gridCol w:w="1485"/>
        <w:gridCol w:w="1440"/>
        <w:gridCol w:w="2055"/>
      </w:tblGrid>
      <w:tr w:rsidR="00D94542" w:rsidRPr="00D94542">
        <w:trPr>
          <w:trHeight w:val="195"/>
          <w:tblCellSpacing w:w="0" w:type="dxa"/>
        </w:trPr>
        <w:tc>
          <w:tcPr>
            <w:tcW w:w="11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b/>
                <w:bCs/>
                <w:color w:val="3C4452"/>
                <w:sz w:val="18"/>
                <w:szCs w:val="18"/>
                <w:lang w:eastAsia="es-CR"/>
              </w:rPr>
              <w:t>Clase</w:t>
            </w:r>
          </w:p>
        </w:tc>
        <w:tc>
          <w:tcPr>
            <w:tcW w:w="14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b/>
                <w:bCs/>
                <w:color w:val="3C4452"/>
                <w:sz w:val="18"/>
                <w:szCs w:val="18"/>
                <w:lang w:eastAsia="es-CR"/>
              </w:rPr>
              <w:t>Salario base actual</w:t>
            </w:r>
          </w:p>
        </w:tc>
        <w:tc>
          <w:tcPr>
            <w:tcW w:w="1440"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b/>
                <w:bCs/>
                <w:color w:val="3C4452"/>
                <w:sz w:val="18"/>
                <w:szCs w:val="18"/>
                <w:lang w:eastAsia="es-CR"/>
              </w:rPr>
              <w:t>Aumento a aplicar</w:t>
            </w:r>
          </w:p>
        </w:tc>
        <w:tc>
          <w:tcPr>
            <w:tcW w:w="205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b/>
                <w:bCs/>
                <w:color w:val="3C4452"/>
                <w:sz w:val="18"/>
                <w:szCs w:val="18"/>
                <w:lang w:eastAsia="es-CR"/>
              </w:rPr>
              <w:t>Nuevo salario con pluses*</w:t>
            </w:r>
          </w:p>
        </w:tc>
      </w:tr>
      <w:tr w:rsidR="00D94542" w:rsidRPr="00D94542">
        <w:trPr>
          <w:trHeight w:val="195"/>
          <w:tblCellSpacing w:w="0" w:type="dxa"/>
        </w:trPr>
        <w:tc>
          <w:tcPr>
            <w:tcW w:w="11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Conserje</w:t>
            </w:r>
          </w:p>
        </w:tc>
        <w:tc>
          <w:tcPr>
            <w:tcW w:w="14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¢209.050</w:t>
            </w:r>
          </w:p>
        </w:tc>
        <w:tc>
          <w:tcPr>
            <w:tcW w:w="1440"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¢6.800</w:t>
            </w:r>
          </w:p>
        </w:tc>
        <w:tc>
          <w:tcPr>
            <w:tcW w:w="205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¢215.850</w:t>
            </w:r>
          </w:p>
        </w:tc>
      </w:tr>
      <w:tr w:rsidR="00D94542" w:rsidRPr="00D94542">
        <w:trPr>
          <w:trHeight w:val="195"/>
          <w:tblCellSpacing w:w="0" w:type="dxa"/>
        </w:trPr>
        <w:tc>
          <w:tcPr>
            <w:tcW w:w="11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Profesional</w:t>
            </w:r>
          </w:p>
        </w:tc>
        <w:tc>
          <w:tcPr>
            <w:tcW w:w="14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¢505.350</w:t>
            </w:r>
          </w:p>
        </w:tc>
        <w:tc>
          <w:tcPr>
            <w:tcW w:w="1440"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¢9.550</w:t>
            </w:r>
          </w:p>
        </w:tc>
        <w:tc>
          <w:tcPr>
            <w:tcW w:w="205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¢514.900</w:t>
            </w:r>
          </w:p>
        </w:tc>
      </w:tr>
      <w:tr w:rsidR="00D94542" w:rsidRPr="00D94542">
        <w:trPr>
          <w:trHeight w:val="195"/>
          <w:tblCellSpacing w:w="0" w:type="dxa"/>
        </w:trPr>
        <w:tc>
          <w:tcPr>
            <w:tcW w:w="11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Educador</w:t>
            </w:r>
          </w:p>
        </w:tc>
        <w:tc>
          <w:tcPr>
            <w:tcW w:w="14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¢494.400</w:t>
            </w:r>
          </w:p>
        </w:tc>
        <w:tc>
          <w:tcPr>
            <w:tcW w:w="1440"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¢8.800</w:t>
            </w:r>
          </w:p>
        </w:tc>
        <w:tc>
          <w:tcPr>
            <w:tcW w:w="205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¢503.200</w:t>
            </w:r>
          </w:p>
        </w:tc>
      </w:tr>
      <w:tr w:rsidR="00D94542" w:rsidRPr="00D94542">
        <w:trPr>
          <w:trHeight w:val="195"/>
          <w:tblCellSpacing w:w="0" w:type="dxa"/>
        </w:trPr>
        <w:tc>
          <w:tcPr>
            <w:tcW w:w="11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Guarda</w:t>
            </w:r>
          </w:p>
        </w:tc>
        <w:tc>
          <w:tcPr>
            <w:tcW w:w="14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¢227.350</w:t>
            </w:r>
          </w:p>
        </w:tc>
        <w:tc>
          <w:tcPr>
            <w:tcW w:w="1440"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¢7.000</w:t>
            </w:r>
          </w:p>
        </w:tc>
        <w:tc>
          <w:tcPr>
            <w:tcW w:w="205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¢234.350</w:t>
            </w:r>
          </w:p>
        </w:tc>
      </w:tr>
      <w:tr w:rsidR="00D94542" w:rsidRPr="00D94542">
        <w:trPr>
          <w:trHeight w:val="195"/>
          <w:tblCellSpacing w:w="0" w:type="dxa"/>
        </w:trPr>
        <w:tc>
          <w:tcPr>
            <w:tcW w:w="11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Chofer</w:t>
            </w:r>
          </w:p>
        </w:tc>
        <w:tc>
          <w:tcPr>
            <w:tcW w:w="14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¢227.350</w:t>
            </w:r>
          </w:p>
        </w:tc>
        <w:tc>
          <w:tcPr>
            <w:tcW w:w="1440"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¢7.050</w:t>
            </w:r>
          </w:p>
        </w:tc>
        <w:tc>
          <w:tcPr>
            <w:tcW w:w="205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¢234.400</w:t>
            </w:r>
          </w:p>
        </w:tc>
      </w:tr>
      <w:tr w:rsidR="00D94542" w:rsidRPr="00D94542">
        <w:trPr>
          <w:trHeight w:val="195"/>
          <w:tblCellSpacing w:w="0" w:type="dxa"/>
        </w:trPr>
        <w:tc>
          <w:tcPr>
            <w:tcW w:w="11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Oficinista</w:t>
            </w:r>
          </w:p>
        </w:tc>
        <w:tc>
          <w:tcPr>
            <w:tcW w:w="148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¢232.150</w:t>
            </w:r>
          </w:p>
        </w:tc>
        <w:tc>
          <w:tcPr>
            <w:tcW w:w="1440"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¢6.700</w:t>
            </w:r>
          </w:p>
        </w:tc>
        <w:tc>
          <w:tcPr>
            <w:tcW w:w="2055" w:type="dxa"/>
            <w:vAlign w:val="center"/>
            <w:hideMark/>
          </w:tcPr>
          <w:p w:rsidR="00D94542" w:rsidRPr="00D94542" w:rsidRDefault="00D94542" w:rsidP="00D94542">
            <w:pPr>
              <w:spacing w:after="0" w:line="240" w:lineRule="auto"/>
              <w:jc w:val="center"/>
              <w:rPr>
                <w:rFonts w:ascii="Verdana" w:eastAsia="Times New Roman" w:hAnsi="Verdana" w:cs="Times New Roman"/>
                <w:color w:val="3C4452"/>
                <w:sz w:val="18"/>
                <w:szCs w:val="18"/>
                <w:lang w:eastAsia="es-CR"/>
              </w:rPr>
            </w:pPr>
            <w:r w:rsidRPr="00D94542">
              <w:rPr>
                <w:rFonts w:ascii="Verdana" w:eastAsia="Times New Roman" w:hAnsi="Verdana" w:cs="Times New Roman"/>
                <w:color w:val="3C4452"/>
                <w:sz w:val="18"/>
                <w:szCs w:val="18"/>
                <w:lang w:eastAsia="es-CR"/>
              </w:rPr>
              <w:t>¢238.850</w:t>
            </w:r>
          </w:p>
        </w:tc>
      </w:tr>
    </w:tbl>
    <w:p w:rsidR="00D94542" w:rsidRPr="00D94542" w:rsidRDefault="00D94542" w:rsidP="00D94542">
      <w:pPr>
        <w:spacing w:before="100" w:beforeAutospacing="1" w:after="100" w:afterAutospacing="1" w:line="240" w:lineRule="auto"/>
        <w:outlineLvl w:val="3"/>
        <w:rPr>
          <w:rFonts w:ascii="Verdana" w:eastAsia="Times New Roman" w:hAnsi="Verdana" w:cs="Times New Roman"/>
          <w:b/>
          <w:bCs/>
          <w:color w:val="515D68"/>
          <w:sz w:val="18"/>
          <w:szCs w:val="18"/>
          <w:lang w:eastAsia="es-CR"/>
        </w:rPr>
      </w:pPr>
      <w:r w:rsidRPr="00D94542">
        <w:rPr>
          <w:rFonts w:ascii="Verdana" w:eastAsia="Times New Roman" w:hAnsi="Verdana" w:cs="Times New Roman"/>
          <w:b/>
          <w:bCs/>
          <w:i/>
          <w:iCs/>
          <w:color w:val="515D68"/>
          <w:sz w:val="18"/>
          <w:szCs w:val="18"/>
          <w:lang w:eastAsia="es-CR"/>
        </w:rPr>
        <w:t>*Montos son un aproximado, pues hay pluses no contemplados y dentro de una misma clase existen otras categorías.</w:t>
      </w:r>
    </w:p>
    <w:p w:rsidR="00F95365" w:rsidRDefault="00F95365"/>
    <w:sectPr w:rsidR="00F953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42"/>
    <w:rsid w:val="00D94542"/>
    <w:rsid w:val="00F953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94542"/>
    <w:pPr>
      <w:spacing w:before="100" w:beforeAutospacing="1" w:after="100" w:afterAutospacing="1" w:line="240" w:lineRule="auto"/>
      <w:outlineLvl w:val="0"/>
    </w:pPr>
    <w:rPr>
      <w:rFonts w:ascii="Verdana" w:eastAsia="Times New Roman" w:hAnsi="Verdana" w:cs="Times New Roman"/>
      <w:b/>
      <w:bCs/>
      <w:color w:val="18307E"/>
      <w:kern w:val="36"/>
      <w:sz w:val="36"/>
      <w:szCs w:val="36"/>
      <w:lang w:eastAsia="es-CR"/>
    </w:rPr>
  </w:style>
  <w:style w:type="paragraph" w:styleId="Ttulo3">
    <w:name w:val="heading 3"/>
    <w:basedOn w:val="Normal"/>
    <w:link w:val="Ttulo3Car"/>
    <w:uiPriority w:val="9"/>
    <w:qFormat/>
    <w:rsid w:val="00D94542"/>
    <w:pPr>
      <w:spacing w:before="300" w:after="0" w:line="240" w:lineRule="auto"/>
      <w:outlineLvl w:val="2"/>
    </w:pPr>
    <w:rPr>
      <w:rFonts w:ascii="Verdana" w:eastAsia="Times New Roman" w:hAnsi="Verdana" w:cs="Times New Roman"/>
      <w:b/>
      <w:bCs/>
      <w:color w:val="607494"/>
      <w:sz w:val="23"/>
      <w:szCs w:val="23"/>
      <w:lang w:eastAsia="es-CR"/>
    </w:rPr>
  </w:style>
  <w:style w:type="paragraph" w:styleId="Ttulo4">
    <w:name w:val="heading 4"/>
    <w:basedOn w:val="Normal"/>
    <w:link w:val="Ttulo4Car"/>
    <w:uiPriority w:val="9"/>
    <w:qFormat/>
    <w:rsid w:val="00D94542"/>
    <w:pPr>
      <w:spacing w:before="100" w:beforeAutospacing="1" w:after="100" w:afterAutospacing="1" w:line="240" w:lineRule="auto"/>
      <w:outlineLvl w:val="3"/>
    </w:pPr>
    <w:rPr>
      <w:rFonts w:ascii="Verdana" w:eastAsia="Times New Roman" w:hAnsi="Verdana" w:cs="Times New Roman"/>
      <w:b/>
      <w:bCs/>
      <w:color w:val="004B97"/>
      <w:sz w:val="20"/>
      <w:szCs w:val="20"/>
      <w:lang w:eastAsia="es-CR"/>
    </w:rPr>
  </w:style>
  <w:style w:type="paragraph" w:styleId="Ttulo5">
    <w:name w:val="heading 5"/>
    <w:basedOn w:val="Normal"/>
    <w:link w:val="Ttulo5Car"/>
    <w:uiPriority w:val="9"/>
    <w:qFormat/>
    <w:rsid w:val="00D94542"/>
    <w:pPr>
      <w:shd w:val="clear" w:color="auto" w:fill="EFF3FF"/>
      <w:spacing w:before="100" w:beforeAutospacing="1" w:after="100" w:afterAutospacing="1" w:line="240" w:lineRule="auto"/>
      <w:outlineLvl w:val="4"/>
    </w:pPr>
    <w:rPr>
      <w:rFonts w:ascii="Verdana" w:eastAsia="Times New Roman" w:hAnsi="Verdana" w:cs="Times New Roman"/>
      <w:color w:val="00297B"/>
      <w:sz w:val="15"/>
      <w:szCs w:val="15"/>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4542"/>
    <w:rPr>
      <w:rFonts w:ascii="Verdana" w:eastAsia="Times New Roman" w:hAnsi="Verdana" w:cs="Times New Roman"/>
      <w:b/>
      <w:bCs/>
      <w:color w:val="18307E"/>
      <w:kern w:val="36"/>
      <w:sz w:val="36"/>
      <w:szCs w:val="36"/>
      <w:lang w:eastAsia="es-CR"/>
    </w:rPr>
  </w:style>
  <w:style w:type="character" w:customStyle="1" w:styleId="Ttulo3Car">
    <w:name w:val="Título 3 Car"/>
    <w:basedOn w:val="Fuentedeprrafopredeter"/>
    <w:link w:val="Ttulo3"/>
    <w:uiPriority w:val="9"/>
    <w:rsid w:val="00D94542"/>
    <w:rPr>
      <w:rFonts w:ascii="Verdana" w:eastAsia="Times New Roman" w:hAnsi="Verdana" w:cs="Times New Roman"/>
      <w:b/>
      <w:bCs/>
      <w:color w:val="607494"/>
      <w:sz w:val="23"/>
      <w:szCs w:val="23"/>
      <w:lang w:eastAsia="es-CR"/>
    </w:rPr>
  </w:style>
  <w:style w:type="character" w:customStyle="1" w:styleId="Ttulo4Car">
    <w:name w:val="Título 4 Car"/>
    <w:basedOn w:val="Fuentedeprrafopredeter"/>
    <w:link w:val="Ttulo4"/>
    <w:uiPriority w:val="9"/>
    <w:rsid w:val="00D94542"/>
    <w:rPr>
      <w:rFonts w:ascii="Verdana" w:eastAsia="Times New Roman" w:hAnsi="Verdana" w:cs="Times New Roman"/>
      <w:b/>
      <w:bCs/>
      <w:color w:val="004B97"/>
      <w:sz w:val="20"/>
      <w:szCs w:val="20"/>
      <w:lang w:eastAsia="es-CR"/>
    </w:rPr>
  </w:style>
  <w:style w:type="character" w:customStyle="1" w:styleId="Ttulo5Car">
    <w:name w:val="Título 5 Car"/>
    <w:basedOn w:val="Fuentedeprrafopredeter"/>
    <w:link w:val="Ttulo5"/>
    <w:uiPriority w:val="9"/>
    <w:rsid w:val="00D94542"/>
    <w:rPr>
      <w:rFonts w:ascii="Verdana" w:eastAsia="Times New Roman" w:hAnsi="Verdana" w:cs="Times New Roman"/>
      <w:color w:val="00297B"/>
      <w:sz w:val="15"/>
      <w:szCs w:val="15"/>
      <w:shd w:val="clear" w:color="auto" w:fill="EFF3FF"/>
      <w:lang w:eastAsia="es-CR"/>
    </w:rPr>
  </w:style>
  <w:style w:type="paragraph" w:styleId="NormalWeb">
    <w:name w:val="Normal (Web)"/>
    <w:basedOn w:val="Normal"/>
    <w:uiPriority w:val="99"/>
    <w:semiHidden/>
    <w:unhideWhenUsed/>
    <w:rsid w:val="00D94542"/>
    <w:pPr>
      <w:spacing w:before="100" w:beforeAutospacing="1" w:after="100" w:afterAutospacing="1" w:line="240" w:lineRule="auto"/>
    </w:pPr>
    <w:rPr>
      <w:rFonts w:ascii="Verdana" w:eastAsia="Times New Roman" w:hAnsi="Verdana" w:cs="Times New Roman"/>
      <w:color w:val="515D68"/>
      <w:sz w:val="18"/>
      <w:szCs w:val="18"/>
      <w:lang w:eastAsia="es-CR"/>
    </w:rPr>
  </w:style>
  <w:style w:type="paragraph" w:styleId="Textodeglobo">
    <w:name w:val="Balloon Text"/>
    <w:basedOn w:val="Normal"/>
    <w:link w:val="TextodegloboCar"/>
    <w:uiPriority w:val="99"/>
    <w:semiHidden/>
    <w:unhideWhenUsed/>
    <w:rsid w:val="00D945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542"/>
    <w:rPr>
      <w:rFonts w:ascii="Tahoma" w:hAnsi="Tahoma" w:cs="Tahoma"/>
      <w:sz w:val="16"/>
      <w:szCs w:val="16"/>
    </w:rPr>
  </w:style>
  <w:style w:type="character" w:styleId="Hipervnculo">
    <w:name w:val="Hyperlink"/>
    <w:basedOn w:val="Fuentedeprrafopredeter"/>
    <w:uiPriority w:val="99"/>
    <w:unhideWhenUsed/>
    <w:rsid w:val="00D945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94542"/>
    <w:pPr>
      <w:spacing w:before="100" w:beforeAutospacing="1" w:after="100" w:afterAutospacing="1" w:line="240" w:lineRule="auto"/>
      <w:outlineLvl w:val="0"/>
    </w:pPr>
    <w:rPr>
      <w:rFonts w:ascii="Verdana" w:eastAsia="Times New Roman" w:hAnsi="Verdana" w:cs="Times New Roman"/>
      <w:b/>
      <w:bCs/>
      <w:color w:val="18307E"/>
      <w:kern w:val="36"/>
      <w:sz w:val="36"/>
      <w:szCs w:val="36"/>
      <w:lang w:eastAsia="es-CR"/>
    </w:rPr>
  </w:style>
  <w:style w:type="paragraph" w:styleId="Ttulo3">
    <w:name w:val="heading 3"/>
    <w:basedOn w:val="Normal"/>
    <w:link w:val="Ttulo3Car"/>
    <w:uiPriority w:val="9"/>
    <w:qFormat/>
    <w:rsid w:val="00D94542"/>
    <w:pPr>
      <w:spacing w:before="300" w:after="0" w:line="240" w:lineRule="auto"/>
      <w:outlineLvl w:val="2"/>
    </w:pPr>
    <w:rPr>
      <w:rFonts w:ascii="Verdana" w:eastAsia="Times New Roman" w:hAnsi="Verdana" w:cs="Times New Roman"/>
      <w:b/>
      <w:bCs/>
      <w:color w:val="607494"/>
      <w:sz w:val="23"/>
      <w:szCs w:val="23"/>
      <w:lang w:eastAsia="es-CR"/>
    </w:rPr>
  </w:style>
  <w:style w:type="paragraph" w:styleId="Ttulo4">
    <w:name w:val="heading 4"/>
    <w:basedOn w:val="Normal"/>
    <w:link w:val="Ttulo4Car"/>
    <w:uiPriority w:val="9"/>
    <w:qFormat/>
    <w:rsid w:val="00D94542"/>
    <w:pPr>
      <w:spacing w:before="100" w:beforeAutospacing="1" w:after="100" w:afterAutospacing="1" w:line="240" w:lineRule="auto"/>
      <w:outlineLvl w:val="3"/>
    </w:pPr>
    <w:rPr>
      <w:rFonts w:ascii="Verdana" w:eastAsia="Times New Roman" w:hAnsi="Verdana" w:cs="Times New Roman"/>
      <w:b/>
      <w:bCs/>
      <w:color w:val="004B97"/>
      <w:sz w:val="20"/>
      <w:szCs w:val="20"/>
      <w:lang w:eastAsia="es-CR"/>
    </w:rPr>
  </w:style>
  <w:style w:type="paragraph" w:styleId="Ttulo5">
    <w:name w:val="heading 5"/>
    <w:basedOn w:val="Normal"/>
    <w:link w:val="Ttulo5Car"/>
    <w:uiPriority w:val="9"/>
    <w:qFormat/>
    <w:rsid w:val="00D94542"/>
    <w:pPr>
      <w:shd w:val="clear" w:color="auto" w:fill="EFF3FF"/>
      <w:spacing w:before="100" w:beforeAutospacing="1" w:after="100" w:afterAutospacing="1" w:line="240" w:lineRule="auto"/>
      <w:outlineLvl w:val="4"/>
    </w:pPr>
    <w:rPr>
      <w:rFonts w:ascii="Verdana" w:eastAsia="Times New Roman" w:hAnsi="Verdana" w:cs="Times New Roman"/>
      <w:color w:val="00297B"/>
      <w:sz w:val="15"/>
      <w:szCs w:val="15"/>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4542"/>
    <w:rPr>
      <w:rFonts w:ascii="Verdana" w:eastAsia="Times New Roman" w:hAnsi="Verdana" w:cs="Times New Roman"/>
      <w:b/>
      <w:bCs/>
      <w:color w:val="18307E"/>
      <w:kern w:val="36"/>
      <w:sz w:val="36"/>
      <w:szCs w:val="36"/>
      <w:lang w:eastAsia="es-CR"/>
    </w:rPr>
  </w:style>
  <w:style w:type="character" w:customStyle="1" w:styleId="Ttulo3Car">
    <w:name w:val="Título 3 Car"/>
    <w:basedOn w:val="Fuentedeprrafopredeter"/>
    <w:link w:val="Ttulo3"/>
    <w:uiPriority w:val="9"/>
    <w:rsid w:val="00D94542"/>
    <w:rPr>
      <w:rFonts w:ascii="Verdana" w:eastAsia="Times New Roman" w:hAnsi="Verdana" w:cs="Times New Roman"/>
      <w:b/>
      <w:bCs/>
      <w:color w:val="607494"/>
      <w:sz w:val="23"/>
      <w:szCs w:val="23"/>
      <w:lang w:eastAsia="es-CR"/>
    </w:rPr>
  </w:style>
  <w:style w:type="character" w:customStyle="1" w:styleId="Ttulo4Car">
    <w:name w:val="Título 4 Car"/>
    <w:basedOn w:val="Fuentedeprrafopredeter"/>
    <w:link w:val="Ttulo4"/>
    <w:uiPriority w:val="9"/>
    <w:rsid w:val="00D94542"/>
    <w:rPr>
      <w:rFonts w:ascii="Verdana" w:eastAsia="Times New Roman" w:hAnsi="Verdana" w:cs="Times New Roman"/>
      <w:b/>
      <w:bCs/>
      <w:color w:val="004B97"/>
      <w:sz w:val="20"/>
      <w:szCs w:val="20"/>
      <w:lang w:eastAsia="es-CR"/>
    </w:rPr>
  </w:style>
  <w:style w:type="character" w:customStyle="1" w:styleId="Ttulo5Car">
    <w:name w:val="Título 5 Car"/>
    <w:basedOn w:val="Fuentedeprrafopredeter"/>
    <w:link w:val="Ttulo5"/>
    <w:uiPriority w:val="9"/>
    <w:rsid w:val="00D94542"/>
    <w:rPr>
      <w:rFonts w:ascii="Verdana" w:eastAsia="Times New Roman" w:hAnsi="Verdana" w:cs="Times New Roman"/>
      <w:color w:val="00297B"/>
      <w:sz w:val="15"/>
      <w:szCs w:val="15"/>
      <w:shd w:val="clear" w:color="auto" w:fill="EFF3FF"/>
      <w:lang w:eastAsia="es-CR"/>
    </w:rPr>
  </w:style>
  <w:style w:type="paragraph" w:styleId="NormalWeb">
    <w:name w:val="Normal (Web)"/>
    <w:basedOn w:val="Normal"/>
    <w:uiPriority w:val="99"/>
    <w:semiHidden/>
    <w:unhideWhenUsed/>
    <w:rsid w:val="00D94542"/>
    <w:pPr>
      <w:spacing w:before="100" w:beforeAutospacing="1" w:after="100" w:afterAutospacing="1" w:line="240" w:lineRule="auto"/>
    </w:pPr>
    <w:rPr>
      <w:rFonts w:ascii="Verdana" w:eastAsia="Times New Roman" w:hAnsi="Verdana" w:cs="Times New Roman"/>
      <w:color w:val="515D68"/>
      <w:sz w:val="18"/>
      <w:szCs w:val="18"/>
      <w:lang w:eastAsia="es-CR"/>
    </w:rPr>
  </w:style>
  <w:style w:type="paragraph" w:styleId="Textodeglobo">
    <w:name w:val="Balloon Text"/>
    <w:basedOn w:val="Normal"/>
    <w:link w:val="TextodegloboCar"/>
    <w:uiPriority w:val="99"/>
    <w:semiHidden/>
    <w:unhideWhenUsed/>
    <w:rsid w:val="00D945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542"/>
    <w:rPr>
      <w:rFonts w:ascii="Tahoma" w:hAnsi="Tahoma" w:cs="Tahoma"/>
      <w:sz w:val="16"/>
      <w:szCs w:val="16"/>
    </w:rPr>
  </w:style>
  <w:style w:type="character" w:styleId="Hipervnculo">
    <w:name w:val="Hyperlink"/>
    <w:basedOn w:val="Fuentedeprrafopredeter"/>
    <w:uiPriority w:val="99"/>
    <w:unhideWhenUsed/>
    <w:rsid w:val="00D94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arioextra.com/2012/enero/14/nacionales01.ph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3138</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2012-01-16T18:58:00Z</dcterms:created>
  <dcterms:modified xsi:type="dcterms:W3CDTF">2012-01-16T18:59:00Z</dcterms:modified>
</cp:coreProperties>
</file>