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8A17BD" w:rsidRDefault="008A17BD">
      <w:pPr>
        <w:rPr>
          <w:lang w:val="en-US"/>
        </w:rPr>
      </w:pPr>
      <w:r w:rsidRPr="008A17BD">
        <w:rPr>
          <w:lang w:val="en-US"/>
        </w:rPr>
        <w:t xml:space="preserve">Enlace: </w:t>
      </w:r>
      <w:hyperlink r:id="rId4" w:history="1">
        <w:r w:rsidRPr="008A17BD">
          <w:rPr>
            <w:rStyle w:val="Hipervnculo"/>
            <w:lang w:val="en-US"/>
          </w:rPr>
          <w:t>https://www.nacion.com/el-pais/politica/pobreza-extrema-se-duplicaria-si-se-eliminan/JIPIDYW2ZVG3NCOZVOZ4EHBQS4/story/</w:t>
        </w:r>
      </w:hyperlink>
    </w:p>
    <w:p w:rsidR="008A17BD" w:rsidRPr="008A17BD" w:rsidRDefault="008A17BD">
      <w:pPr>
        <w:rPr>
          <w:lang w:val="en-US"/>
        </w:rPr>
      </w:pPr>
    </w:p>
    <w:p w:rsidR="008A17BD" w:rsidRDefault="008A17BD" w:rsidP="008A17BD">
      <w:pPr>
        <w:spacing w:line="750" w:lineRule="atLeast"/>
        <w:rPr>
          <w:rFonts w:ascii="Arial" w:hAnsi="Arial" w:cs="Arial"/>
          <w:b/>
          <w:bCs/>
          <w:color w:val="000000"/>
          <w:spacing w:val="15"/>
          <w:sz w:val="60"/>
          <w:szCs w:val="60"/>
        </w:rPr>
      </w:pPr>
      <w:bookmarkStart w:id="0" w:name="_GoBack"/>
      <w:r>
        <w:rPr>
          <w:rFonts w:ascii="Arial" w:hAnsi="Arial" w:cs="Arial"/>
          <w:b/>
          <w:bCs/>
          <w:color w:val="000000"/>
          <w:spacing w:val="15"/>
          <w:sz w:val="60"/>
          <w:szCs w:val="60"/>
        </w:rPr>
        <w:t>Pobreza extrema se duplicaría si se eliminan subsidios sociales: alcanzaría a 480.000 personas</w:t>
      </w:r>
    </w:p>
    <w:bookmarkEnd w:id="0"/>
    <w:p w:rsidR="008A17BD" w:rsidRDefault="008A17BD" w:rsidP="008A17BD">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Población sin ingresos suficientes para pagar la canasta básica aumentaría de un 5,1% a un 9,8% de la población, según el Informe del Estado de la Nación</w:t>
      </w:r>
    </w:p>
    <w:p w:rsidR="008A17BD" w:rsidRDefault="008A17BD" w:rsidP="008A17BD">
      <w:pPr>
        <w:rPr>
          <w:rFonts w:ascii="Times New Roman" w:hAnsi="Times New Roman" w:cs="Times New Roman"/>
          <w:sz w:val="24"/>
          <w:szCs w:val="24"/>
        </w:rPr>
      </w:pPr>
      <w:hyperlink r:id="rId5" w:history="1">
        <w:r>
          <w:rPr>
            <w:rStyle w:val="Hipervnculo"/>
            <w:rFonts w:ascii="Arial" w:hAnsi="Arial" w:cs="Arial"/>
            <w:b/>
            <w:bCs/>
            <w:sz w:val="21"/>
            <w:szCs w:val="21"/>
          </w:rPr>
          <w:t>Sofía Chinchilla C.</w:t>
        </w:r>
      </w:hyperlink>
      <w:r>
        <w:rPr>
          <w:rStyle w:val="author"/>
          <w:rFonts w:ascii="Arial" w:hAnsi="Arial" w:cs="Arial"/>
          <w:color w:val="4A90E2"/>
          <w:sz w:val="21"/>
          <w:szCs w:val="21"/>
        </w:rPr>
        <w:t>. 15 noviembre</w:t>
      </w:r>
    </w:p>
    <w:p w:rsidR="008A17BD" w:rsidRDefault="008A17BD" w:rsidP="008A17BD">
      <w:pPr>
        <w:rPr>
          <w:rFonts w:ascii="Arial" w:hAnsi="Arial" w:cs="Arial"/>
          <w:sz w:val="27"/>
          <w:szCs w:val="27"/>
        </w:rPr>
      </w:pPr>
      <w:r>
        <w:rPr>
          <w:rFonts w:ascii="Arial" w:hAnsi="Arial" w:cs="Arial"/>
          <w:noProof/>
          <w:sz w:val="27"/>
          <w:szCs w:val="27"/>
          <w:lang w:eastAsia="es-ES"/>
        </w:rPr>
        <w:drawing>
          <wp:inline distT="0" distB="0" distL="0" distR="0">
            <wp:extent cx="5429250" cy="3615965"/>
            <wp:effectExtent l="0" t="0" r="0" b="3810"/>
            <wp:docPr id="2" name="Imagen 2" descr="Un hogar vive en pobreza extrema cuando los ingresos no le alcanzan para cubrir las necesidades alimentarias básicas de sus miembros. En el 2017, se consideraba que vivían en esa condición las personas con ingresos inferiores a ¢49.150 mensuales, en las zonas urbanas, y a ¢40.900 en las zonas rurales. Foto: Albert Marí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MZMA4PYJCGNKM4BVW3QIDBEM" descr="Un hogar vive en pobreza extrema cuando los ingresos no le alcanzan para cubrir las necesidades alimentarias básicas de sus miembros. En el 2017, se consideraba que vivían en esa condición las personas con ingresos inferiores a ¢49.150 mensuales, en las zonas urbanas, y a ¢40.900 en las zonas rurales. Foto: Albert Marí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4664" cy="3652872"/>
                    </a:xfrm>
                    <a:prstGeom prst="rect">
                      <a:avLst/>
                    </a:prstGeom>
                    <a:noFill/>
                    <a:ln>
                      <a:noFill/>
                    </a:ln>
                  </pic:spPr>
                </pic:pic>
              </a:graphicData>
            </a:graphic>
          </wp:inline>
        </w:drawing>
      </w:r>
    </w:p>
    <w:p w:rsidR="008A17BD" w:rsidRDefault="008A17BD" w:rsidP="008A17BD">
      <w:pPr>
        <w:rPr>
          <w:rFonts w:ascii="Times New Roman" w:hAnsi="Times New Roman" w:cs="Times New Roman"/>
          <w:sz w:val="24"/>
          <w:szCs w:val="24"/>
        </w:rPr>
      </w:pPr>
      <w:r>
        <w:rPr>
          <w:rStyle w:val="credit"/>
          <w:rFonts w:ascii="Arial" w:hAnsi="Arial" w:cs="Arial"/>
          <w:color w:val="4A4A4A"/>
          <w:sz w:val="21"/>
          <w:szCs w:val="21"/>
        </w:rPr>
        <w:t>Un hogar vive en pobreza extrema cuando los ingresos no le alcanzan para cubrir las necesidades alimentarias básicas de sus miembros. En el 2017, se consideraba que vivían en esa condición las personas con ingresos inferiores a ¢49.150 mensuales, en las zonas urbanas, y a ¢40.900 en las zonas rurales. Foto: Albert Marín.</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Si el Gobierno llegara a eliminar el financiamiento de los programas sociales, la pobreza extrema se duplicaría en Costa Rica.</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Las personas que carecen de ingresos para pagar la canasta básica alimentaria pasarían de un 5,1% a un 9,8% de la población, un nivel de extrema necesidad que no se registraba en el país desde el año 1988.</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cantidad de personas, la cifra afectada por este flagelo subiría de 250.000 a 480.000 aproximadamente.</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este escenario extremo, también habría un crecimiento sustantivo en la cantidad de personas que viven en pobreza básica, la cual aumentaría de un 20,3% a un 24,2% del total de habitantes.</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Así lo concluye el </w:t>
      </w:r>
      <w:r>
        <w:rPr>
          <w:rFonts w:ascii="Arial" w:hAnsi="Arial" w:cs="Arial"/>
          <w:i/>
          <w:iCs/>
          <w:color w:val="000000"/>
          <w:sz w:val="27"/>
          <w:szCs w:val="27"/>
        </w:rPr>
        <w:t>Informe del Estado de la Nación</w:t>
      </w:r>
      <w:r>
        <w:rPr>
          <w:rFonts w:ascii="Arial" w:hAnsi="Arial" w:cs="Arial"/>
          <w:color w:val="000000"/>
          <w:sz w:val="27"/>
          <w:szCs w:val="27"/>
        </w:rPr>
        <w:t> dado a conocer el martes 13 de noviembre.</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Los investigadores hicieron una simulación a partir de la Encuesta Nacional de Hogares (</w:t>
      </w:r>
      <w:proofErr w:type="spellStart"/>
      <w:r>
        <w:rPr>
          <w:rFonts w:ascii="Arial" w:hAnsi="Arial" w:cs="Arial"/>
          <w:color w:val="000000"/>
          <w:sz w:val="27"/>
          <w:szCs w:val="27"/>
        </w:rPr>
        <w:t>Enaho</w:t>
      </w:r>
      <w:proofErr w:type="spellEnd"/>
      <w:r>
        <w:rPr>
          <w:rFonts w:ascii="Arial" w:hAnsi="Arial" w:cs="Arial"/>
          <w:color w:val="000000"/>
          <w:sz w:val="27"/>
          <w:szCs w:val="27"/>
        </w:rPr>
        <w:t>) del 2017, para estimar qué tan graves serían las consecuencias si el gobierno tomara la decisión de hacerle frente al déficit fiscal a través de la eliminación total de las ayudas sociales. En ese año, eran 86.663 hogares los que vivían en extrema pobreza.</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Los investigadores tomaron en cuenta las transferencias que financian las políticas selectivas para la atención de la pobreza, las cuales incluyen las pensiones del régimen no contributivo y las becas que otorgan el Fondo Nacional de Becas (</w:t>
      </w:r>
      <w:proofErr w:type="spellStart"/>
      <w:r>
        <w:rPr>
          <w:rFonts w:ascii="Arial" w:hAnsi="Arial" w:cs="Arial"/>
          <w:color w:val="000000"/>
          <w:sz w:val="27"/>
          <w:szCs w:val="27"/>
        </w:rPr>
        <w:t>Fonabe</w:t>
      </w:r>
      <w:proofErr w:type="spellEnd"/>
      <w:r>
        <w:rPr>
          <w:rFonts w:ascii="Arial" w:hAnsi="Arial" w:cs="Arial"/>
          <w:color w:val="000000"/>
          <w:sz w:val="27"/>
          <w:szCs w:val="27"/>
        </w:rPr>
        <w:t>), las universidades públicas, los gobiernos locales, el Instituto Nacional de Aprendizaje (INA) y el programa Empléate, del Ministerio de Trabajo.</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También, se tomaron en cuenta las ayudas en dinero en efectivo del Instituto Mixto de Ayuda Social (IMAS) y los subsidios de otros programas financiados por el </w:t>
      </w:r>
      <w:proofErr w:type="spellStart"/>
      <w:r>
        <w:rPr>
          <w:rFonts w:ascii="Arial" w:hAnsi="Arial" w:cs="Arial"/>
          <w:color w:val="000000"/>
          <w:sz w:val="27"/>
          <w:szCs w:val="27"/>
        </w:rPr>
        <w:t>Fodesaf</w:t>
      </w:r>
      <w:proofErr w:type="spellEnd"/>
      <w:r>
        <w:rPr>
          <w:rFonts w:ascii="Arial" w:hAnsi="Arial" w:cs="Arial"/>
          <w:color w:val="000000"/>
          <w:sz w:val="27"/>
          <w:szCs w:val="27"/>
        </w:rPr>
        <w:t xml:space="preserve">, así como los apoyos en especie que brindan los comedores estudiantiles y los centros de nutrición y cuido, </w:t>
      </w:r>
      <w:proofErr w:type="spellStart"/>
      <w:r>
        <w:rPr>
          <w:rFonts w:ascii="Arial" w:hAnsi="Arial" w:cs="Arial"/>
          <w:color w:val="000000"/>
          <w:sz w:val="27"/>
          <w:szCs w:val="27"/>
        </w:rPr>
        <w:t>Cen-Cinái</w:t>
      </w:r>
      <w:proofErr w:type="spellEnd"/>
      <w:r>
        <w:rPr>
          <w:rFonts w:ascii="Arial" w:hAnsi="Arial" w:cs="Arial"/>
          <w:color w:val="000000"/>
          <w:sz w:val="27"/>
          <w:szCs w:val="27"/>
        </w:rPr>
        <w:t>.</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Un hogar vive en pobreza extrema cuando los ingresos no le alcanzan para cubrir las necesidades alimentarias básicas de sus miembros. En 2017, se consideraba que vivían en esa condición las personas con ingresos iguales o inferiores a ¢49.150 mensuales en las zonas urbanas, y en ¢40.900 en las zonas rurales.</w:t>
      </w:r>
    </w:p>
    <w:p w:rsidR="008A17BD" w:rsidRDefault="008A17BD" w:rsidP="008A17BD">
      <w:pPr>
        <w:rPr>
          <w:rFonts w:ascii="Arial" w:hAnsi="Arial" w:cs="Arial"/>
          <w:sz w:val="27"/>
          <w:szCs w:val="27"/>
        </w:rPr>
      </w:pPr>
      <w:r>
        <w:rPr>
          <w:rStyle w:val="element1"/>
          <w:rFonts w:ascii="Arial" w:hAnsi="Arial" w:cs="Arial"/>
          <w:b/>
          <w:bCs/>
          <w:color w:val="4A4A4A"/>
          <w:sz w:val="36"/>
          <w:szCs w:val="36"/>
        </w:rPr>
        <w:t>Tres escenarios negativos</w:t>
      </w:r>
    </w:p>
    <w:p w:rsidR="008A17BD" w:rsidRDefault="008A17BD" w:rsidP="008A17BD">
      <w:pPr>
        <w:rPr>
          <w:rFonts w:ascii="Arial" w:hAnsi="Arial" w:cs="Arial"/>
          <w:sz w:val="27"/>
          <w:szCs w:val="27"/>
        </w:rPr>
      </w:pPr>
      <w:r>
        <w:rPr>
          <w:rFonts w:ascii="Arial" w:hAnsi="Arial" w:cs="Arial"/>
          <w:noProof/>
          <w:sz w:val="27"/>
          <w:szCs w:val="27"/>
          <w:lang w:eastAsia="es-ES"/>
        </w:rPr>
        <w:drawing>
          <wp:inline distT="0" distB="0" distL="0" distR="0">
            <wp:extent cx="5391150" cy="2216479"/>
            <wp:effectExtent l="0" t="0" r="0" b="0"/>
            <wp:docPr id="1" name="Imagen 1" descr="¿Qué pasaría con la pobreza si se eliminan los subsidios? Fuente: Informe del Estado de la N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6ETU22LABFDJP7IU6R4LVIMMI" descr="¿Qué pasaría con la pobreza si se eliminan los subsidios? Fuente: Informe del Estado de la Na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0445" cy="2232634"/>
                    </a:xfrm>
                    <a:prstGeom prst="rect">
                      <a:avLst/>
                    </a:prstGeom>
                    <a:noFill/>
                    <a:ln>
                      <a:noFill/>
                    </a:ln>
                  </pic:spPr>
                </pic:pic>
              </a:graphicData>
            </a:graphic>
          </wp:inline>
        </w:drawing>
      </w:r>
    </w:p>
    <w:p w:rsidR="008A17BD" w:rsidRDefault="008A17BD" w:rsidP="008A17BD">
      <w:pPr>
        <w:rPr>
          <w:rFonts w:ascii="Times New Roman" w:hAnsi="Times New Roman" w:cs="Times New Roman"/>
          <w:sz w:val="24"/>
          <w:szCs w:val="24"/>
        </w:rPr>
      </w:pPr>
      <w:r>
        <w:rPr>
          <w:rStyle w:val="credit"/>
          <w:rFonts w:ascii="Arial" w:hAnsi="Arial" w:cs="Arial"/>
          <w:color w:val="4A4A4A"/>
          <w:sz w:val="21"/>
          <w:szCs w:val="21"/>
        </w:rPr>
        <w:t>¿Qué pasaría con la pobreza si se eliminan los subsidios? Fuente: Informe del Estado de la Nación.</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estudio señala que los recortes en la inversión social se pueden hacer por dos vías: a través de la disminución de las transferencias en efectivo o a través de las ayudas en especie, como cuido o alimentación.</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Aunque la pobreza extrema del 2017 fue estimada en un 6,2% de la población, el Estado de la Nación calculó que </w:t>
      </w:r>
      <w:proofErr w:type="spellStart"/>
      <w:r>
        <w:rPr>
          <w:rFonts w:ascii="Arial" w:hAnsi="Arial" w:cs="Arial"/>
          <w:color w:val="000000"/>
          <w:sz w:val="27"/>
          <w:szCs w:val="27"/>
        </w:rPr>
        <w:t>esta</w:t>
      </w:r>
      <w:proofErr w:type="spellEnd"/>
      <w:r>
        <w:rPr>
          <w:rFonts w:ascii="Arial" w:hAnsi="Arial" w:cs="Arial"/>
          <w:color w:val="000000"/>
          <w:sz w:val="27"/>
          <w:szCs w:val="27"/>
        </w:rPr>
        <w:t xml:space="preserve"> en realidad es de un 5,1% si se toma en cuenta el efecto de los subsidios en especie, es decir, del dinero que los beneficiados se ahorran mediante servicios como los comedores escolares y el cuido de niños.</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De acuerdo con la investigadora Natalia Morales, encargada del capítulo social del informe, si se eliminara el financiamiento de los comedores y los centros de cuido, 56.600 personas caerían en pobreza extrema.</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b/>
          <w:bCs/>
          <w:color w:val="000000"/>
          <w:sz w:val="27"/>
          <w:szCs w:val="27"/>
        </w:rPr>
        <w:t>Si se desfinanciaran estos subsidios en especie</w:t>
      </w:r>
      <w:r>
        <w:rPr>
          <w:rFonts w:ascii="Arial" w:hAnsi="Arial" w:cs="Arial"/>
          <w:color w:val="000000"/>
          <w:sz w:val="27"/>
          <w:szCs w:val="27"/>
        </w:rPr>
        <w:t>, la pobreza extrema pasará de un 5,1% a un </w:t>
      </w:r>
      <w:r>
        <w:rPr>
          <w:rFonts w:ascii="Arial" w:hAnsi="Arial" w:cs="Arial"/>
          <w:b/>
          <w:bCs/>
          <w:color w:val="000000"/>
          <w:sz w:val="27"/>
          <w:szCs w:val="27"/>
        </w:rPr>
        <w:t>6,2%</w:t>
      </w:r>
      <w:r>
        <w:rPr>
          <w:rFonts w:ascii="Arial" w:hAnsi="Arial" w:cs="Arial"/>
          <w:color w:val="000000"/>
          <w:sz w:val="27"/>
          <w:szCs w:val="27"/>
        </w:rPr>
        <w:t>.</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En caso de que </w:t>
      </w:r>
      <w:r>
        <w:rPr>
          <w:rFonts w:ascii="Arial" w:hAnsi="Arial" w:cs="Arial"/>
          <w:b/>
          <w:bCs/>
          <w:color w:val="000000"/>
          <w:sz w:val="27"/>
          <w:szCs w:val="27"/>
        </w:rPr>
        <w:t>se eliminaran las transferencias de efectivo</w:t>
      </w:r>
      <w:r>
        <w:rPr>
          <w:rFonts w:ascii="Arial" w:hAnsi="Arial" w:cs="Arial"/>
          <w:color w:val="000000"/>
          <w:sz w:val="27"/>
          <w:szCs w:val="27"/>
        </w:rPr>
        <w:t> pero se mantienen las que son en especie, la cifra de personas que se sumaría al estado de extrema necesidad sería de 178.000, extendiéndose a un </w:t>
      </w:r>
      <w:r>
        <w:rPr>
          <w:rFonts w:ascii="Arial" w:hAnsi="Arial" w:cs="Arial"/>
          <w:b/>
          <w:bCs/>
          <w:color w:val="000000"/>
          <w:sz w:val="27"/>
          <w:szCs w:val="27"/>
        </w:rPr>
        <w:t>8,7%</w:t>
      </w:r>
      <w:r>
        <w:rPr>
          <w:rFonts w:ascii="Arial" w:hAnsi="Arial" w:cs="Arial"/>
          <w:color w:val="000000"/>
          <w:sz w:val="27"/>
          <w:szCs w:val="27"/>
        </w:rPr>
        <w:t> de la población (es decir, 428.000 personas).</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Morales explicó que muchos de ellos serían habitantes que ya vivían en pobreza básica, cuyas condiciones empeorarían al grado de hacerlos caer al nivel más bajo.</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el peor escenario, </w:t>
      </w:r>
      <w:r>
        <w:rPr>
          <w:rFonts w:ascii="Arial" w:hAnsi="Arial" w:cs="Arial"/>
          <w:b/>
          <w:bCs/>
          <w:color w:val="000000"/>
          <w:sz w:val="27"/>
          <w:szCs w:val="27"/>
        </w:rPr>
        <w:t>si desaparecen tanto las ayudas en especie como las monetarias</w:t>
      </w:r>
      <w:r>
        <w:rPr>
          <w:rFonts w:ascii="Arial" w:hAnsi="Arial" w:cs="Arial"/>
          <w:color w:val="000000"/>
          <w:sz w:val="27"/>
          <w:szCs w:val="27"/>
        </w:rPr>
        <w:t>, la pobreza extrema pasaría de un 5,1% a un </w:t>
      </w:r>
      <w:r>
        <w:rPr>
          <w:rFonts w:ascii="Arial" w:hAnsi="Arial" w:cs="Arial"/>
          <w:b/>
          <w:bCs/>
          <w:color w:val="000000"/>
          <w:sz w:val="27"/>
          <w:szCs w:val="27"/>
        </w:rPr>
        <w:t>9,8% (alcanzando 480.000 personas)</w:t>
      </w:r>
      <w:r>
        <w:rPr>
          <w:rFonts w:ascii="Arial" w:hAnsi="Arial" w:cs="Arial"/>
          <w:color w:val="000000"/>
          <w:sz w:val="27"/>
          <w:szCs w:val="27"/>
        </w:rPr>
        <w:t>.</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año 2017, a partir del cual se hizo la simulación, se registraron</w:t>
      </w:r>
      <w:hyperlink r:id="rId8" w:history="1">
        <w:r>
          <w:rPr>
            <w:rStyle w:val="Hipervnculo"/>
            <w:rFonts w:ascii="Arial" w:hAnsi="Arial" w:cs="Arial"/>
            <w:b/>
            <w:bCs/>
            <w:color w:val="4A90E2"/>
            <w:sz w:val="27"/>
            <w:szCs w:val="27"/>
          </w:rPr>
          <w:t> 86.663 hogares en condición</w:t>
        </w:r>
      </w:hyperlink>
      <w:r>
        <w:rPr>
          <w:rFonts w:ascii="Arial" w:hAnsi="Arial" w:cs="Arial"/>
          <w:color w:val="000000"/>
          <w:sz w:val="27"/>
          <w:szCs w:val="27"/>
        </w:rPr>
        <w:t> de extrema necesidad, según el INEC. Para el 2018, </w:t>
      </w:r>
      <w:hyperlink r:id="rId9" w:history="1">
        <w:r>
          <w:rPr>
            <w:rStyle w:val="Hipervnculo"/>
            <w:rFonts w:ascii="Arial" w:hAnsi="Arial" w:cs="Arial"/>
            <w:b/>
            <w:bCs/>
            <w:color w:val="4A90E2"/>
            <w:sz w:val="27"/>
            <w:szCs w:val="27"/>
          </w:rPr>
          <w:t>aumentaron a 99.034</w:t>
        </w:r>
      </w:hyperlink>
      <w:r>
        <w:rPr>
          <w:rFonts w:ascii="Arial" w:hAnsi="Arial" w:cs="Arial"/>
          <w:color w:val="000000"/>
          <w:sz w:val="27"/>
          <w:szCs w:val="27"/>
        </w:rPr>
        <w:t>.</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“Las políticas selectivas aglutinan, en promedio, cerca de un 11% de la inversión social pública (ISP) y un 2,5% del producto interno bruto (PIB). En 2017, un 41,1% de esos recursos se destinó a la entrega de servicios, un 45,6% a transferencias en dinero y el restante 13,3% a transferencias de capital”, señala el informe.</w:t>
      </w:r>
    </w:p>
    <w:p w:rsidR="008A17BD" w:rsidRDefault="008A17BD" w:rsidP="008A17BD">
      <w:pPr>
        <w:pStyle w:val="Ttulo3"/>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8A17BD" w:rsidRDefault="008A17BD" w:rsidP="008A17BD">
      <w:pPr>
        <w:pStyle w:val="NormalWeb"/>
        <w:spacing w:before="0" w:beforeAutospacing="0" w:after="150" w:afterAutospacing="0" w:line="315" w:lineRule="atLeast"/>
        <w:jc w:val="center"/>
        <w:rPr>
          <w:rFonts w:ascii="Arial" w:hAnsi="Arial" w:cs="Arial"/>
          <w:b/>
          <w:bCs/>
          <w:color w:val="4A90E2"/>
          <w:sz w:val="27"/>
          <w:szCs w:val="27"/>
        </w:rPr>
      </w:pPr>
      <w:hyperlink r:id="rId10" w:history="1">
        <w:r>
          <w:rPr>
            <w:rStyle w:val="Hipervnculo"/>
            <w:rFonts w:ascii="Arial" w:hAnsi="Arial" w:cs="Arial"/>
            <w:b/>
            <w:bCs/>
            <w:color w:val="4A90E2"/>
            <w:sz w:val="27"/>
            <w:szCs w:val="27"/>
          </w:rPr>
          <w:t>1 de cada 4 hogares recibe subsidios del Estado</w:t>
        </w:r>
      </w:hyperlink>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Según la más reciente encuesta Nacional de Hogares del Instituto Nacional de Estadística y Censos (INEC), elaborada en julio, 1 de cada 4 hogares recibe ayudas por parte del Estado. Ese 25% de las familias percibe subsidios como becas, pensiones del régimen no contributivo y ayudas mensuales diversas, ya sea en efectivo o en especie.</w:t>
      </w:r>
    </w:p>
    <w:p w:rsidR="008A17BD" w:rsidRDefault="008A17BD" w:rsidP="008A17BD">
      <w:pPr>
        <w:rPr>
          <w:rFonts w:ascii="Arial" w:hAnsi="Arial" w:cs="Arial"/>
          <w:sz w:val="27"/>
          <w:szCs w:val="27"/>
        </w:rPr>
      </w:pPr>
      <w:r>
        <w:rPr>
          <w:rStyle w:val="element1"/>
          <w:rFonts w:ascii="Arial" w:hAnsi="Arial" w:cs="Arial"/>
          <w:b/>
          <w:bCs/>
          <w:color w:val="4A4A4A"/>
          <w:sz w:val="36"/>
          <w:szCs w:val="36"/>
        </w:rPr>
        <w:t>No repetir errores del pasado</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La proyección del </w:t>
      </w:r>
      <w:r>
        <w:rPr>
          <w:rFonts w:ascii="Arial" w:hAnsi="Arial" w:cs="Arial"/>
          <w:i/>
          <w:iCs/>
          <w:color w:val="000000"/>
          <w:sz w:val="27"/>
          <w:szCs w:val="27"/>
        </w:rPr>
        <w:t>Estado de la Nación</w:t>
      </w:r>
      <w:r>
        <w:rPr>
          <w:rFonts w:ascii="Arial" w:hAnsi="Arial" w:cs="Arial"/>
          <w:color w:val="000000"/>
          <w:sz w:val="27"/>
          <w:szCs w:val="27"/>
        </w:rPr>
        <w:t> se hace en momentos en que el Estado registra un déficit fiscal del 7,2%, por lo cual al Gobierno le urge aumentar los ingresos tributarios y contener el gasto público.</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Dada la situación, la inversión social queda una situación riesgosa, según lo advierte el Informe Técnico sobre el Presupuesto Ordinario para el Ejercicio Económico 2019.</w:t>
      </w:r>
    </w:p>
    <w:p w:rsidR="008A17BD" w:rsidRDefault="008A17BD" w:rsidP="008A17BD">
      <w:pPr>
        <w:pStyle w:val="Ttulo3"/>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8A17BD" w:rsidRDefault="008A17BD" w:rsidP="008A17BD">
      <w:pPr>
        <w:pStyle w:val="NormalWeb"/>
        <w:spacing w:before="0" w:beforeAutospacing="0" w:after="150" w:afterAutospacing="0" w:line="315" w:lineRule="atLeast"/>
        <w:jc w:val="center"/>
        <w:rPr>
          <w:rFonts w:ascii="Arial" w:hAnsi="Arial" w:cs="Arial"/>
          <w:b/>
          <w:bCs/>
          <w:color w:val="4A90E2"/>
          <w:sz w:val="27"/>
          <w:szCs w:val="27"/>
        </w:rPr>
      </w:pPr>
      <w:hyperlink r:id="rId11" w:history="1">
        <w:r>
          <w:rPr>
            <w:rStyle w:val="Hipervnculo"/>
            <w:rFonts w:ascii="Arial" w:hAnsi="Arial" w:cs="Arial"/>
            <w:b/>
            <w:bCs/>
            <w:color w:val="4A90E2"/>
            <w:sz w:val="27"/>
            <w:szCs w:val="27"/>
          </w:rPr>
          <w:t>Contraloría: Problemas de liquidez del gobierno pueden afectar programas sociales en el 2019</w:t>
        </w:r>
      </w:hyperlink>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También </w:t>
      </w:r>
      <w:hyperlink r:id="rId12" w:history="1">
        <w:r>
          <w:rPr>
            <w:rStyle w:val="Hipervnculo"/>
            <w:rFonts w:ascii="Arial" w:hAnsi="Arial" w:cs="Arial"/>
            <w:b/>
            <w:bCs/>
            <w:color w:val="4A90E2"/>
            <w:sz w:val="27"/>
            <w:szCs w:val="27"/>
          </w:rPr>
          <w:t>la ministra de Hacienda ha advertido</w:t>
        </w:r>
      </w:hyperlink>
      <w:r>
        <w:rPr>
          <w:rFonts w:ascii="Arial" w:hAnsi="Arial" w:cs="Arial"/>
          <w:color w:val="000000"/>
          <w:sz w:val="27"/>
          <w:szCs w:val="27"/>
        </w:rPr>
        <w:t> que, si no se aprueba una reforma fiscal que genere ingresos suficientes, en el corto plazo el gobierno podría verse imposibilitado para seguir financiando los programas de asistencia social.</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El Instituto Mixto de Ayuda Social (IMAS) tiene previsto invertir ¢160.000 millones en subsidios durante el 2019. No obstante, según la presidenta ejecutiva de la entidad, María </w:t>
      </w:r>
      <w:proofErr w:type="spellStart"/>
      <w:r>
        <w:rPr>
          <w:rFonts w:ascii="Arial" w:hAnsi="Arial" w:cs="Arial"/>
          <w:color w:val="000000"/>
          <w:sz w:val="27"/>
          <w:szCs w:val="27"/>
        </w:rPr>
        <w:t>Fullmen</w:t>
      </w:r>
      <w:proofErr w:type="spellEnd"/>
      <w:r>
        <w:rPr>
          <w:rFonts w:ascii="Arial" w:hAnsi="Arial" w:cs="Arial"/>
          <w:color w:val="000000"/>
          <w:sz w:val="27"/>
          <w:szCs w:val="27"/>
        </w:rPr>
        <w:t xml:space="preserve"> Salazar, el plan depende de que se apruebe en segundo debate la reforma fiscal que se tramita en el Congreso. </w:t>
      </w:r>
      <w:proofErr w:type="gramStart"/>
      <w:r>
        <w:rPr>
          <w:rFonts w:ascii="Arial" w:hAnsi="Arial" w:cs="Arial"/>
          <w:color w:val="000000"/>
          <w:sz w:val="27"/>
          <w:szCs w:val="27"/>
        </w:rPr>
        <w:t>La</w:t>
      </w:r>
      <w:proofErr w:type="gramEnd"/>
      <w:r>
        <w:rPr>
          <w:rFonts w:ascii="Arial" w:hAnsi="Arial" w:cs="Arial"/>
          <w:color w:val="000000"/>
          <w:sz w:val="27"/>
          <w:szCs w:val="27"/>
        </w:rPr>
        <w:t xml:space="preserve"> jerarca aseguró que, de lo contrario, el Gobierno empezará a cortar presupuesto y lo hará primero con el dinero destinado a obras sociales.</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“Si no se aprueba el plan fiscal, los primeros que se verían afectados son este 25% (de familias que reciben subsidios o becas en todo el país), porque no habría plata para otorgar esos beneficios. Si no hay aprobación del paquete fiscal, no hay plata para asistir a esta gente”, dijo la funcionaria.</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w:t>
      </w:r>
      <w:r>
        <w:rPr>
          <w:rFonts w:ascii="Arial" w:hAnsi="Arial" w:cs="Arial"/>
          <w:i/>
          <w:iCs/>
          <w:color w:val="000000"/>
          <w:sz w:val="27"/>
          <w:szCs w:val="27"/>
        </w:rPr>
        <w:t>Estado de la Nación</w:t>
      </w:r>
      <w:r>
        <w:rPr>
          <w:rFonts w:ascii="Arial" w:hAnsi="Arial" w:cs="Arial"/>
          <w:color w:val="000000"/>
          <w:sz w:val="27"/>
          <w:szCs w:val="27"/>
        </w:rPr>
        <w:t> califica de “errores” las acciones adoptadas por los gobiernos en años anteriores, cuando el país se ha enfrentado a situaciones similares, de estrechez económica y fiscal.</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Por ejemplo, el documento recuerda que en 1980 se aplicaron recortes en educación como medida ante la crisis económica, “lo que le costó al país una generación perdida por la baja escolaridad”.</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“Si los ajustes que hoy se requieren se dan por la vía de la inversión social, se perjudicaría a los grupos más desposeídos, que dependen de los servicios y transferencias del Estado”, avisó el estudio.</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De acuerdo con Morales, aunque es muy improbable que el gobierno llegue a cortar por completo las transferencias para asistencia social, el ejercicio que hace el informe es relevante para dimensionar el gran peso que tienen dichas ayudas en la supervivencia de las familias más desposeídas.</w:t>
      </w:r>
    </w:p>
    <w:p w:rsid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“Lo que uno plantea son simulaciones extremas para ver la importancia que realmente tienen los programas sociales, sobre todo en sostener la situación de los hogares más pobres y vulnerables".</w:t>
      </w:r>
    </w:p>
    <w:p w:rsidR="008A17BD" w:rsidRPr="008A17BD" w:rsidRDefault="008A17BD" w:rsidP="008A17BD">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"Esos niveles de pobreza y desigualdad se están sosteniendo gracias a la inversión social, entonces es hacer un llamado a que no cometamos los mismos errores, si se van a implementar políticas de contención del gasto, hay que hacerlo hacia esos rubros que realmente son ineficientes y no hacia los grupos que se van a ver más afectados”, dijo la investigadora.</w:t>
      </w:r>
    </w:p>
    <w:sectPr w:rsidR="008A17BD" w:rsidRPr="008A17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BD"/>
    <w:rsid w:val="002F1ABE"/>
    <w:rsid w:val="00744CFE"/>
    <w:rsid w:val="008A17BD"/>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1AC6B-4E46-4988-9C13-EEF94CAE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8A17B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17BD"/>
    <w:rPr>
      <w:color w:val="0563C1" w:themeColor="hyperlink"/>
      <w:u w:val="single"/>
    </w:rPr>
  </w:style>
  <w:style w:type="character" w:customStyle="1" w:styleId="Ttulo3Car">
    <w:name w:val="Título 3 Car"/>
    <w:basedOn w:val="Fuentedeprrafopredeter"/>
    <w:link w:val="Ttulo3"/>
    <w:uiPriority w:val="9"/>
    <w:rsid w:val="008A17BD"/>
    <w:rPr>
      <w:rFonts w:ascii="Times New Roman" w:eastAsia="Times New Roman" w:hAnsi="Times New Roman" w:cs="Times New Roman"/>
      <w:b/>
      <w:bCs/>
      <w:sz w:val="27"/>
      <w:szCs w:val="27"/>
      <w:lang w:eastAsia="es-ES"/>
    </w:rPr>
  </w:style>
  <w:style w:type="paragraph" w:customStyle="1" w:styleId="subheadline">
    <w:name w:val="subheadline"/>
    <w:basedOn w:val="Normal"/>
    <w:rsid w:val="008A17B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8A17BD"/>
  </w:style>
  <w:style w:type="character" w:customStyle="1" w:styleId="credit">
    <w:name w:val="credit"/>
    <w:basedOn w:val="Fuentedeprrafopredeter"/>
    <w:rsid w:val="008A17BD"/>
  </w:style>
  <w:style w:type="paragraph" w:customStyle="1" w:styleId="element">
    <w:name w:val="element"/>
    <w:basedOn w:val="Normal"/>
    <w:rsid w:val="008A17B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ement1">
    <w:name w:val="element1"/>
    <w:basedOn w:val="Fuentedeprrafopredeter"/>
    <w:rsid w:val="008A17BD"/>
  </w:style>
  <w:style w:type="paragraph" w:styleId="NormalWeb">
    <w:name w:val="Normal (Web)"/>
    <w:basedOn w:val="Normal"/>
    <w:uiPriority w:val="99"/>
    <w:semiHidden/>
    <w:unhideWhenUsed/>
    <w:rsid w:val="008A17B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303905">
      <w:bodyDiv w:val="1"/>
      <w:marLeft w:val="0"/>
      <w:marRight w:val="0"/>
      <w:marTop w:val="0"/>
      <w:marBottom w:val="0"/>
      <w:divBdr>
        <w:top w:val="none" w:sz="0" w:space="0" w:color="auto"/>
        <w:left w:val="none" w:sz="0" w:space="0" w:color="auto"/>
        <w:bottom w:val="none" w:sz="0" w:space="0" w:color="auto"/>
        <w:right w:val="none" w:sz="0" w:space="0" w:color="auto"/>
      </w:divBdr>
      <w:divsChild>
        <w:div w:id="58095573">
          <w:marLeft w:val="0"/>
          <w:marRight w:val="0"/>
          <w:marTop w:val="0"/>
          <w:marBottom w:val="0"/>
          <w:divBdr>
            <w:top w:val="none" w:sz="0" w:space="0" w:color="auto"/>
            <w:left w:val="none" w:sz="0" w:space="0" w:color="auto"/>
            <w:bottom w:val="none" w:sz="0" w:space="0" w:color="auto"/>
            <w:right w:val="none" w:sz="0" w:space="0" w:color="auto"/>
          </w:divBdr>
          <w:divsChild>
            <w:div w:id="1437678072">
              <w:marLeft w:val="0"/>
              <w:marRight w:val="0"/>
              <w:marTop w:val="0"/>
              <w:marBottom w:val="0"/>
              <w:divBdr>
                <w:top w:val="none" w:sz="0" w:space="0" w:color="auto"/>
                <w:left w:val="none" w:sz="0" w:space="0" w:color="auto"/>
                <w:bottom w:val="none" w:sz="0" w:space="0" w:color="auto"/>
                <w:right w:val="none" w:sz="0" w:space="0" w:color="auto"/>
              </w:divBdr>
              <w:divsChild>
                <w:div w:id="1815636581">
                  <w:marLeft w:val="-225"/>
                  <w:marRight w:val="-225"/>
                  <w:marTop w:val="0"/>
                  <w:marBottom w:val="0"/>
                  <w:divBdr>
                    <w:top w:val="none" w:sz="0" w:space="0" w:color="auto"/>
                    <w:left w:val="none" w:sz="0" w:space="0" w:color="auto"/>
                    <w:bottom w:val="none" w:sz="0" w:space="0" w:color="auto"/>
                    <w:right w:val="none" w:sz="0" w:space="0" w:color="auto"/>
                  </w:divBdr>
                  <w:divsChild>
                    <w:div w:id="382410316">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1564484153">
          <w:marLeft w:val="0"/>
          <w:marRight w:val="0"/>
          <w:marTop w:val="0"/>
          <w:marBottom w:val="0"/>
          <w:divBdr>
            <w:top w:val="none" w:sz="0" w:space="0" w:color="auto"/>
            <w:left w:val="none" w:sz="0" w:space="0" w:color="auto"/>
            <w:bottom w:val="none" w:sz="0" w:space="0" w:color="auto"/>
            <w:right w:val="none" w:sz="0" w:space="0" w:color="auto"/>
          </w:divBdr>
          <w:divsChild>
            <w:div w:id="1135686058">
              <w:marLeft w:val="0"/>
              <w:marRight w:val="0"/>
              <w:marTop w:val="0"/>
              <w:marBottom w:val="0"/>
              <w:divBdr>
                <w:top w:val="none" w:sz="0" w:space="0" w:color="auto"/>
                <w:left w:val="none" w:sz="0" w:space="0" w:color="auto"/>
                <w:bottom w:val="none" w:sz="0" w:space="0" w:color="auto"/>
                <w:right w:val="none" w:sz="0" w:space="0" w:color="auto"/>
              </w:divBdr>
              <w:divsChild>
                <w:div w:id="971709620">
                  <w:marLeft w:val="0"/>
                  <w:marRight w:val="0"/>
                  <w:marTop w:val="0"/>
                  <w:marBottom w:val="300"/>
                  <w:divBdr>
                    <w:top w:val="none" w:sz="0" w:space="0" w:color="auto"/>
                    <w:left w:val="none" w:sz="0" w:space="0" w:color="auto"/>
                    <w:bottom w:val="none" w:sz="0" w:space="0" w:color="auto"/>
                    <w:right w:val="none" w:sz="0" w:space="0" w:color="auto"/>
                  </w:divBdr>
                  <w:divsChild>
                    <w:div w:id="845677897">
                      <w:marLeft w:val="0"/>
                      <w:marRight w:val="0"/>
                      <w:marTop w:val="0"/>
                      <w:marBottom w:val="0"/>
                      <w:divBdr>
                        <w:top w:val="none" w:sz="0" w:space="0" w:color="auto"/>
                        <w:left w:val="none" w:sz="0" w:space="0" w:color="auto"/>
                        <w:bottom w:val="none" w:sz="0" w:space="0" w:color="auto"/>
                        <w:right w:val="none" w:sz="0" w:space="0" w:color="auto"/>
                      </w:divBdr>
                      <w:divsChild>
                        <w:div w:id="1944651628">
                          <w:marLeft w:val="-225"/>
                          <w:marRight w:val="-225"/>
                          <w:marTop w:val="0"/>
                          <w:marBottom w:val="0"/>
                          <w:divBdr>
                            <w:top w:val="none" w:sz="0" w:space="0" w:color="auto"/>
                            <w:left w:val="none" w:sz="0" w:space="0" w:color="auto"/>
                            <w:bottom w:val="none" w:sz="0" w:space="0" w:color="auto"/>
                            <w:right w:val="none" w:sz="0" w:space="0" w:color="auto"/>
                          </w:divBdr>
                          <w:divsChild>
                            <w:div w:id="1091318040">
                              <w:marLeft w:val="0"/>
                              <w:marRight w:val="0"/>
                              <w:marTop w:val="0"/>
                              <w:marBottom w:val="75"/>
                              <w:divBdr>
                                <w:top w:val="none" w:sz="0" w:space="0" w:color="auto"/>
                                <w:left w:val="none" w:sz="0" w:space="0" w:color="auto"/>
                                <w:bottom w:val="none" w:sz="0" w:space="0" w:color="auto"/>
                                <w:right w:val="none" w:sz="0" w:space="0" w:color="auto"/>
                              </w:divBdr>
                              <w:divsChild>
                                <w:div w:id="13120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7130">
                          <w:marLeft w:val="-225"/>
                          <w:marRight w:val="-225"/>
                          <w:marTop w:val="0"/>
                          <w:marBottom w:val="0"/>
                          <w:divBdr>
                            <w:top w:val="none" w:sz="0" w:space="0" w:color="auto"/>
                            <w:left w:val="none" w:sz="0" w:space="0" w:color="auto"/>
                            <w:bottom w:val="none" w:sz="0" w:space="0" w:color="auto"/>
                            <w:right w:val="none" w:sz="0" w:space="0" w:color="auto"/>
                          </w:divBdr>
                          <w:divsChild>
                            <w:div w:id="1155537280">
                              <w:marLeft w:val="0"/>
                              <w:marRight w:val="0"/>
                              <w:marTop w:val="0"/>
                              <w:marBottom w:val="0"/>
                              <w:divBdr>
                                <w:top w:val="none" w:sz="0" w:space="0" w:color="auto"/>
                                <w:left w:val="none" w:sz="0" w:space="0" w:color="auto"/>
                                <w:bottom w:val="none" w:sz="0" w:space="0" w:color="auto"/>
                                <w:right w:val="none" w:sz="0" w:space="0" w:color="auto"/>
                              </w:divBdr>
                            </w:div>
                          </w:divsChild>
                        </w:div>
                        <w:div w:id="1509247672">
                          <w:marLeft w:val="-225"/>
                          <w:marRight w:val="-225"/>
                          <w:marTop w:val="0"/>
                          <w:marBottom w:val="0"/>
                          <w:divBdr>
                            <w:top w:val="none" w:sz="0" w:space="0" w:color="auto"/>
                            <w:left w:val="none" w:sz="0" w:space="0" w:color="auto"/>
                            <w:bottom w:val="none" w:sz="0" w:space="0" w:color="auto"/>
                            <w:right w:val="none" w:sz="0" w:space="0" w:color="auto"/>
                          </w:divBdr>
                          <w:divsChild>
                            <w:div w:id="1688828155">
                              <w:marLeft w:val="0"/>
                              <w:marRight w:val="0"/>
                              <w:marTop w:val="0"/>
                              <w:marBottom w:val="0"/>
                              <w:divBdr>
                                <w:top w:val="none" w:sz="0" w:space="0" w:color="auto"/>
                                <w:left w:val="none" w:sz="0" w:space="0" w:color="auto"/>
                                <w:bottom w:val="none" w:sz="0" w:space="0" w:color="auto"/>
                                <w:right w:val="none" w:sz="0" w:space="0" w:color="auto"/>
                              </w:divBdr>
                            </w:div>
                          </w:divsChild>
                        </w:div>
                        <w:div w:id="977995900">
                          <w:marLeft w:val="-225"/>
                          <w:marRight w:val="-225"/>
                          <w:marTop w:val="0"/>
                          <w:marBottom w:val="0"/>
                          <w:divBdr>
                            <w:top w:val="none" w:sz="0" w:space="0" w:color="auto"/>
                            <w:left w:val="none" w:sz="0" w:space="0" w:color="auto"/>
                            <w:bottom w:val="none" w:sz="0" w:space="0" w:color="auto"/>
                            <w:right w:val="none" w:sz="0" w:space="0" w:color="auto"/>
                          </w:divBdr>
                          <w:divsChild>
                            <w:div w:id="592469640">
                              <w:marLeft w:val="0"/>
                              <w:marRight w:val="0"/>
                              <w:marTop w:val="0"/>
                              <w:marBottom w:val="0"/>
                              <w:divBdr>
                                <w:top w:val="none" w:sz="0" w:space="0" w:color="auto"/>
                                <w:left w:val="none" w:sz="0" w:space="0" w:color="auto"/>
                                <w:bottom w:val="none" w:sz="0" w:space="0" w:color="auto"/>
                                <w:right w:val="none" w:sz="0" w:space="0" w:color="auto"/>
                              </w:divBdr>
                            </w:div>
                          </w:divsChild>
                        </w:div>
                        <w:div w:id="1725524741">
                          <w:marLeft w:val="-225"/>
                          <w:marRight w:val="-225"/>
                          <w:marTop w:val="0"/>
                          <w:marBottom w:val="0"/>
                          <w:divBdr>
                            <w:top w:val="none" w:sz="0" w:space="0" w:color="auto"/>
                            <w:left w:val="none" w:sz="0" w:space="0" w:color="auto"/>
                            <w:bottom w:val="none" w:sz="0" w:space="0" w:color="auto"/>
                            <w:right w:val="none" w:sz="0" w:space="0" w:color="auto"/>
                          </w:divBdr>
                          <w:divsChild>
                            <w:div w:id="150947127">
                              <w:marLeft w:val="0"/>
                              <w:marRight w:val="0"/>
                              <w:marTop w:val="0"/>
                              <w:marBottom w:val="0"/>
                              <w:divBdr>
                                <w:top w:val="none" w:sz="0" w:space="0" w:color="auto"/>
                                <w:left w:val="none" w:sz="0" w:space="0" w:color="auto"/>
                                <w:bottom w:val="none" w:sz="0" w:space="0" w:color="auto"/>
                                <w:right w:val="none" w:sz="0" w:space="0" w:color="auto"/>
                              </w:divBdr>
                            </w:div>
                          </w:divsChild>
                        </w:div>
                        <w:div w:id="21131553">
                          <w:marLeft w:val="-225"/>
                          <w:marRight w:val="-225"/>
                          <w:marTop w:val="0"/>
                          <w:marBottom w:val="0"/>
                          <w:divBdr>
                            <w:top w:val="none" w:sz="0" w:space="0" w:color="auto"/>
                            <w:left w:val="none" w:sz="0" w:space="0" w:color="auto"/>
                            <w:bottom w:val="none" w:sz="0" w:space="0" w:color="auto"/>
                            <w:right w:val="none" w:sz="0" w:space="0" w:color="auto"/>
                          </w:divBdr>
                          <w:divsChild>
                            <w:div w:id="1243298780">
                              <w:marLeft w:val="0"/>
                              <w:marRight w:val="0"/>
                              <w:marTop w:val="0"/>
                              <w:marBottom w:val="0"/>
                              <w:divBdr>
                                <w:top w:val="none" w:sz="0" w:space="0" w:color="auto"/>
                                <w:left w:val="none" w:sz="0" w:space="0" w:color="auto"/>
                                <w:bottom w:val="none" w:sz="0" w:space="0" w:color="auto"/>
                                <w:right w:val="none" w:sz="0" w:space="0" w:color="auto"/>
                              </w:divBdr>
                            </w:div>
                          </w:divsChild>
                        </w:div>
                        <w:div w:id="113525744">
                          <w:marLeft w:val="-225"/>
                          <w:marRight w:val="-225"/>
                          <w:marTop w:val="0"/>
                          <w:marBottom w:val="0"/>
                          <w:divBdr>
                            <w:top w:val="none" w:sz="0" w:space="0" w:color="auto"/>
                            <w:left w:val="none" w:sz="0" w:space="0" w:color="auto"/>
                            <w:bottom w:val="none" w:sz="0" w:space="0" w:color="auto"/>
                            <w:right w:val="none" w:sz="0" w:space="0" w:color="auto"/>
                          </w:divBdr>
                          <w:divsChild>
                            <w:div w:id="852304101">
                              <w:marLeft w:val="0"/>
                              <w:marRight w:val="0"/>
                              <w:marTop w:val="0"/>
                              <w:marBottom w:val="0"/>
                              <w:divBdr>
                                <w:top w:val="none" w:sz="0" w:space="0" w:color="auto"/>
                                <w:left w:val="none" w:sz="0" w:space="0" w:color="auto"/>
                                <w:bottom w:val="none" w:sz="0" w:space="0" w:color="auto"/>
                                <w:right w:val="none" w:sz="0" w:space="0" w:color="auto"/>
                              </w:divBdr>
                            </w:div>
                          </w:divsChild>
                        </w:div>
                        <w:div w:id="2034529988">
                          <w:marLeft w:val="-225"/>
                          <w:marRight w:val="-225"/>
                          <w:marTop w:val="0"/>
                          <w:marBottom w:val="0"/>
                          <w:divBdr>
                            <w:top w:val="none" w:sz="0" w:space="0" w:color="auto"/>
                            <w:left w:val="none" w:sz="0" w:space="0" w:color="auto"/>
                            <w:bottom w:val="none" w:sz="0" w:space="0" w:color="auto"/>
                            <w:right w:val="none" w:sz="0" w:space="0" w:color="auto"/>
                          </w:divBdr>
                          <w:divsChild>
                            <w:div w:id="1500274771">
                              <w:marLeft w:val="0"/>
                              <w:marRight w:val="0"/>
                              <w:marTop w:val="0"/>
                              <w:marBottom w:val="0"/>
                              <w:divBdr>
                                <w:top w:val="none" w:sz="0" w:space="0" w:color="auto"/>
                                <w:left w:val="none" w:sz="0" w:space="0" w:color="auto"/>
                                <w:bottom w:val="none" w:sz="0" w:space="0" w:color="auto"/>
                                <w:right w:val="none" w:sz="0" w:space="0" w:color="auto"/>
                              </w:divBdr>
                            </w:div>
                          </w:divsChild>
                        </w:div>
                        <w:div w:id="1047099686">
                          <w:marLeft w:val="-225"/>
                          <w:marRight w:val="-225"/>
                          <w:marTop w:val="0"/>
                          <w:marBottom w:val="0"/>
                          <w:divBdr>
                            <w:top w:val="none" w:sz="0" w:space="0" w:color="auto"/>
                            <w:left w:val="none" w:sz="0" w:space="0" w:color="auto"/>
                            <w:bottom w:val="none" w:sz="0" w:space="0" w:color="auto"/>
                            <w:right w:val="none" w:sz="0" w:space="0" w:color="auto"/>
                          </w:divBdr>
                          <w:divsChild>
                            <w:div w:id="1786076528">
                              <w:marLeft w:val="0"/>
                              <w:marRight w:val="0"/>
                              <w:marTop w:val="0"/>
                              <w:marBottom w:val="0"/>
                              <w:divBdr>
                                <w:top w:val="none" w:sz="0" w:space="0" w:color="auto"/>
                                <w:left w:val="none" w:sz="0" w:space="0" w:color="auto"/>
                                <w:bottom w:val="none" w:sz="0" w:space="0" w:color="auto"/>
                                <w:right w:val="none" w:sz="0" w:space="0" w:color="auto"/>
                              </w:divBdr>
                            </w:div>
                          </w:divsChild>
                        </w:div>
                        <w:div w:id="2133133851">
                          <w:marLeft w:val="-225"/>
                          <w:marRight w:val="-225"/>
                          <w:marTop w:val="0"/>
                          <w:marBottom w:val="0"/>
                          <w:divBdr>
                            <w:top w:val="none" w:sz="0" w:space="0" w:color="auto"/>
                            <w:left w:val="none" w:sz="0" w:space="0" w:color="auto"/>
                            <w:bottom w:val="none" w:sz="0" w:space="0" w:color="auto"/>
                            <w:right w:val="none" w:sz="0" w:space="0" w:color="auto"/>
                          </w:divBdr>
                          <w:divsChild>
                            <w:div w:id="1476411119">
                              <w:marLeft w:val="0"/>
                              <w:marRight w:val="0"/>
                              <w:marTop w:val="0"/>
                              <w:marBottom w:val="0"/>
                              <w:divBdr>
                                <w:top w:val="none" w:sz="0" w:space="0" w:color="auto"/>
                                <w:left w:val="none" w:sz="0" w:space="0" w:color="auto"/>
                                <w:bottom w:val="none" w:sz="0" w:space="0" w:color="auto"/>
                                <w:right w:val="none" w:sz="0" w:space="0" w:color="auto"/>
                              </w:divBdr>
                            </w:div>
                          </w:divsChild>
                        </w:div>
                        <w:div w:id="426390740">
                          <w:marLeft w:val="-225"/>
                          <w:marRight w:val="-225"/>
                          <w:marTop w:val="0"/>
                          <w:marBottom w:val="0"/>
                          <w:divBdr>
                            <w:top w:val="none" w:sz="0" w:space="0" w:color="auto"/>
                            <w:left w:val="none" w:sz="0" w:space="0" w:color="auto"/>
                            <w:bottom w:val="none" w:sz="0" w:space="0" w:color="auto"/>
                            <w:right w:val="none" w:sz="0" w:space="0" w:color="auto"/>
                          </w:divBdr>
                          <w:divsChild>
                            <w:div w:id="980885970">
                              <w:marLeft w:val="0"/>
                              <w:marRight w:val="0"/>
                              <w:marTop w:val="0"/>
                              <w:marBottom w:val="0"/>
                              <w:divBdr>
                                <w:top w:val="none" w:sz="0" w:space="0" w:color="auto"/>
                                <w:left w:val="none" w:sz="0" w:space="0" w:color="auto"/>
                                <w:bottom w:val="none" w:sz="0" w:space="0" w:color="auto"/>
                                <w:right w:val="none" w:sz="0" w:space="0" w:color="auto"/>
                              </w:divBdr>
                            </w:div>
                          </w:divsChild>
                        </w:div>
                        <w:div w:id="87122294">
                          <w:marLeft w:val="-225"/>
                          <w:marRight w:val="-225"/>
                          <w:marTop w:val="0"/>
                          <w:marBottom w:val="0"/>
                          <w:divBdr>
                            <w:top w:val="none" w:sz="0" w:space="0" w:color="auto"/>
                            <w:left w:val="none" w:sz="0" w:space="0" w:color="auto"/>
                            <w:bottom w:val="none" w:sz="0" w:space="0" w:color="auto"/>
                            <w:right w:val="none" w:sz="0" w:space="0" w:color="auto"/>
                          </w:divBdr>
                          <w:divsChild>
                            <w:div w:id="198050326">
                              <w:marLeft w:val="0"/>
                              <w:marRight w:val="0"/>
                              <w:marTop w:val="0"/>
                              <w:marBottom w:val="75"/>
                              <w:divBdr>
                                <w:top w:val="none" w:sz="0" w:space="0" w:color="auto"/>
                                <w:left w:val="none" w:sz="0" w:space="0" w:color="auto"/>
                                <w:bottom w:val="none" w:sz="0" w:space="0" w:color="auto"/>
                                <w:right w:val="none" w:sz="0" w:space="0" w:color="auto"/>
                              </w:divBdr>
                              <w:divsChild>
                                <w:div w:id="11959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5506">
                          <w:marLeft w:val="-225"/>
                          <w:marRight w:val="-225"/>
                          <w:marTop w:val="0"/>
                          <w:marBottom w:val="0"/>
                          <w:divBdr>
                            <w:top w:val="none" w:sz="0" w:space="0" w:color="auto"/>
                            <w:left w:val="none" w:sz="0" w:space="0" w:color="auto"/>
                            <w:bottom w:val="none" w:sz="0" w:space="0" w:color="auto"/>
                            <w:right w:val="none" w:sz="0" w:space="0" w:color="auto"/>
                          </w:divBdr>
                          <w:divsChild>
                            <w:div w:id="358893321">
                              <w:marLeft w:val="0"/>
                              <w:marRight w:val="0"/>
                              <w:marTop w:val="0"/>
                              <w:marBottom w:val="0"/>
                              <w:divBdr>
                                <w:top w:val="none" w:sz="0" w:space="0" w:color="auto"/>
                                <w:left w:val="none" w:sz="0" w:space="0" w:color="auto"/>
                                <w:bottom w:val="none" w:sz="0" w:space="0" w:color="auto"/>
                                <w:right w:val="none" w:sz="0" w:space="0" w:color="auto"/>
                              </w:divBdr>
                            </w:div>
                          </w:divsChild>
                        </w:div>
                        <w:div w:id="619996058">
                          <w:marLeft w:val="-225"/>
                          <w:marRight w:val="-225"/>
                          <w:marTop w:val="0"/>
                          <w:marBottom w:val="0"/>
                          <w:divBdr>
                            <w:top w:val="none" w:sz="0" w:space="0" w:color="auto"/>
                            <w:left w:val="none" w:sz="0" w:space="0" w:color="auto"/>
                            <w:bottom w:val="none" w:sz="0" w:space="0" w:color="auto"/>
                            <w:right w:val="none" w:sz="0" w:space="0" w:color="auto"/>
                          </w:divBdr>
                          <w:divsChild>
                            <w:div w:id="2057193284">
                              <w:marLeft w:val="0"/>
                              <w:marRight w:val="0"/>
                              <w:marTop w:val="0"/>
                              <w:marBottom w:val="0"/>
                              <w:divBdr>
                                <w:top w:val="none" w:sz="0" w:space="0" w:color="auto"/>
                                <w:left w:val="none" w:sz="0" w:space="0" w:color="auto"/>
                                <w:bottom w:val="none" w:sz="0" w:space="0" w:color="auto"/>
                                <w:right w:val="none" w:sz="0" w:space="0" w:color="auto"/>
                              </w:divBdr>
                            </w:div>
                          </w:divsChild>
                        </w:div>
                        <w:div w:id="92946642">
                          <w:marLeft w:val="-225"/>
                          <w:marRight w:val="-225"/>
                          <w:marTop w:val="0"/>
                          <w:marBottom w:val="0"/>
                          <w:divBdr>
                            <w:top w:val="none" w:sz="0" w:space="0" w:color="auto"/>
                            <w:left w:val="none" w:sz="0" w:space="0" w:color="auto"/>
                            <w:bottom w:val="none" w:sz="0" w:space="0" w:color="auto"/>
                            <w:right w:val="none" w:sz="0" w:space="0" w:color="auto"/>
                          </w:divBdr>
                          <w:divsChild>
                            <w:div w:id="1122840729">
                              <w:marLeft w:val="0"/>
                              <w:marRight w:val="0"/>
                              <w:marTop w:val="0"/>
                              <w:marBottom w:val="0"/>
                              <w:divBdr>
                                <w:top w:val="none" w:sz="0" w:space="0" w:color="auto"/>
                                <w:left w:val="none" w:sz="0" w:space="0" w:color="auto"/>
                                <w:bottom w:val="none" w:sz="0" w:space="0" w:color="auto"/>
                                <w:right w:val="none" w:sz="0" w:space="0" w:color="auto"/>
                              </w:divBdr>
                            </w:div>
                          </w:divsChild>
                        </w:div>
                        <w:div w:id="1746565547">
                          <w:marLeft w:val="-225"/>
                          <w:marRight w:val="-225"/>
                          <w:marTop w:val="0"/>
                          <w:marBottom w:val="0"/>
                          <w:divBdr>
                            <w:top w:val="none" w:sz="0" w:space="0" w:color="auto"/>
                            <w:left w:val="none" w:sz="0" w:space="0" w:color="auto"/>
                            <w:bottom w:val="none" w:sz="0" w:space="0" w:color="auto"/>
                            <w:right w:val="none" w:sz="0" w:space="0" w:color="auto"/>
                          </w:divBdr>
                          <w:divsChild>
                            <w:div w:id="1678800894">
                              <w:marLeft w:val="0"/>
                              <w:marRight w:val="0"/>
                              <w:marTop w:val="0"/>
                              <w:marBottom w:val="0"/>
                              <w:divBdr>
                                <w:top w:val="none" w:sz="0" w:space="0" w:color="auto"/>
                                <w:left w:val="none" w:sz="0" w:space="0" w:color="auto"/>
                                <w:bottom w:val="none" w:sz="0" w:space="0" w:color="auto"/>
                                <w:right w:val="none" w:sz="0" w:space="0" w:color="auto"/>
                              </w:divBdr>
                            </w:div>
                          </w:divsChild>
                        </w:div>
                        <w:div w:id="2101871110">
                          <w:marLeft w:val="-225"/>
                          <w:marRight w:val="-225"/>
                          <w:marTop w:val="0"/>
                          <w:marBottom w:val="0"/>
                          <w:divBdr>
                            <w:top w:val="none" w:sz="0" w:space="0" w:color="auto"/>
                            <w:left w:val="none" w:sz="0" w:space="0" w:color="auto"/>
                            <w:bottom w:val="none" w:sz="0" w:space="0" w:color="auto"/>
                            <w:right w:val="none" w:sz="0" w:space="0" w:color="auto"/>
                          </w:divBdr>
                          <w:divsChild>
                            <w:div w:id="1337735232">
                              <w:marLeft w:val="0"/>
                              <w:marRight w:val="0"/>
                              <w:marTop w:val="0"/>
                              <w:marBottom w:val="0"/>
                              <w:divBdr>
                                <w:top w:val="none" w:sz="0" w:space="0" w:color="auto"/>
                                <w:left w:val="none" w:sz="0" w:space="0" w:color="auto"/>
                                <w:bottom w:val="none" w:sz="0" w:space="0" w:color="auto"/>
                                <w:right w:val="none" w:sz="0" w:space="0" w:color="auto"/>
                              </w:divBdr>
                            </w:div>
                          </w:divsChild>
                        </w:div>
                        <w:div w:id="1653944050">
                          <w:marLeft w:val="-225"/>
                          <w:marRight w:val="-225"/>
                          <w:marTop w:val="0"/>
                          <w:marBottom w:val="0"/>
                          <w:divBdr>
                            <w:top w:val="none" w:sz="0" w:space="0" w:color="auto"/>
                            <w:left w:val="none" w:sz="0" w:space="0" w:color="auto"/>
                            <w:bottom w:val="none" w:sz="0" w:space="0" w:color="auto"/>
                            <w:right w:val="none" w:sz="0" w:space="0" w:color="auto"/>
                          </w:divBdr>
                          <w:divsChild>
                            <w:div w:id="767847384">
                              <w:marLeft w:val="0"/>
                              <w:marRight w:val="0"/>
                              <w:marTop w:val="0"/>
                              <w:marBottom w:val="0"/>
                              <w:divBdr>
                                <w:top w:val="none" w:sz="0" w:space="0" w:color="auto"/>
                                <w:left w:val="none" w:sz="0" w:space="0" w:color="auto"/>
                                <w:bottom w:val="none" w:sz="0" w:space="0" w:color="auto"/>
                                <w:right w:val="none" w:sz="0" w:space="0" w:color="auto"/>
                              </w:divBdr>
                            </w:div>
                          </w:divsChild>
                        </w:div>
                        <w:div w:id="1644194309">
                          <w:marLeft w:val="-225"/>
                          <w:marRight w:val="-225"/>
                          <w:marTop w:val="0"/>
                          <w:marBottom w:val="0"/>
                          <w:divBdr>
                            <w:top w:val="none" w:sz="0" w:space="0" w:color="auto"/>
                            <w:left w:val="none" w:sz="0" w:space="0" w:color="auto"/>
                            <w:bottom w:val="none" w:sz="0" w:space="0" w:color="auto"/>
                            <w:right w:val="none" w:sz="0" w:space="0" w:color="auto"/>
                          </w:divBdr>
                          <w:divsChild>
                            <w:div w:id="2097240847">
                              <w:marLeft w:val="0"/>
                              <w:marRight w:val="0"/>
                              <w:marTop w:val="0"/>
                              <w:marBottom w:val="0"/>
                              <w:divBdr>
                                <w:top w:val="none" w:sz="0" w:space="0" w:color="auto"/>
                                <w:left w:val="none" w:sz="0" w:space="0" w:color="auto"/>
                                <w:bottom w:val="none" w:sz="0" w:space="0" w:color="auto"/>
                                <w:right w:val="none" w:sz="0" w:space="0" w:color="auto"/>
                              </w:divBdr>
                            </w:div>
                          </w:divsChild>
                        </w:div>
                        <w:div w:id="1252204379">
                          <w:marLeft w:val="-225"/>
                          <w:marRight w:val="-225"/>
                          <w:marTop w:val="0"/>
                          <w:marBottom w:val="0"/>
                          <w:divBdr>
                            <w:top w:val="none" w:sz="0" w:space="0" w:color="auto"/>
                            <w:left w:val="none" w:sz="0" w:space="0" w:color="auto"/>
                            <w:bottom w:val="none" w:sz="0" w:space="0" w:color="auto"/>
                            <w:right w:val="none" w:sz="0" w:space="0" w:color="auto"/>
                          </w:divBdr>
                          <w:divsChild>
                            <w:div w:id="1487673851">
                              <w:marLeft w:val="0"/>
                              <w:marRight w:val="0"/>
                              <w:marTop w:val="0"/>
                              <w:marBottom w:val="0"/>
                              <w:divBdr>
                                <w:top w:val="none" w:sz="0" w:space="0" w:color="auto"/>
                                <w:left w:val="none" w:sz="0" w:space="0" w:color="auto"/>
                                <w:bottom w:val="none" w:sz="0" w:space="0" w:color="auto"/>
                                <w:right w:val="none" w:sz="0" w:space="0" w:color="auto"/>
                              </w:divBdr>
                            </w:div>
                          </w:divsChild>
                        </w:div>
                        <w:div w:id="480465856">
                          <w:marLeft w:val="-225"/>
                          <w:marRight w:val="-225"/>
                          <w:marTop w:val="0"/>
                          <w:marBottom w:val="0"/>
                          <w:divBdr>
                            <w:top w:val="none" w:sz="0" w:space="0" w:color="auto"/>
                            <w:left w:val="none" w:sz="0" w:space="0" w:color="auto"/>
                            <w:bottom w:val="none" w:sz="0" w:space="0" w:color="auto"/>
                            <w:right w:val="none" w:sz="0" w:space="0" w:color="auto"/>
                          </w:divBdr>
                          <w:divsChild>
                            <w:div w:id="1690571211">
                              <w:marLeft w:val="0"/>
                              <w:marRight w:val="0"/>
                              <w:marTop w:val="0"/>
                              <w:marBottom w:val="0"/>
                              <w:divBdr>
                                <w:top w:val="none" w:sz="0" w:space="0" w:color="auto"/>
                                <w:left w:val="none" w:sz="0" w:space="0" w:color="auto"/>
                                <w:bottom w:val="none" w:sz="0" w:space="0" w:color="auto"/>
                                <w:right w:val="none" w:sz="0" w:space="0" w:color="auto"/>
                              </w:divBdr>
                            </w:div>
                          </w:divsChild>
                        </w:div>
                        <w:div w:id="912854011">
                          <w:marLeft w:val="-225"/>
                          <w:marRight w:val="-225"/>
                          <w:marTop w:val="0"/>
                          <w:marBottom w:val="0"/>
                          <w:divBdr>
                            <w:top w:val="none" w:sz="0" w:space="0" w:color="auto"/>
                            <w:left w:val="none" w:sz="0" w:space="0" w:color="auto"/>
                            <w:bottom w:val="none" w:sz="0" w:space="0" w:color="auto"/>
                            <w:right w:val="none" w:sz="0" w:space="0" w:color="auto"/>
                          </w:divBdr>
                          <w:divsChild>
                            <w:div w:id="948849711">
                              <w:marLeft w:val="0"/>
                              <w:marRight w:val="0"/>
                              <w:marTop w:val="0"/>
                              <w:marBottom w:val="360"/>
                              <w:divBdr>
                                <w:top w:val="none" w:sz="0" w:space="0" w:color="auto"/>
                                <w:left w:val="none" w:sz="0" w:space="0" w:color="auto"/>
                                <w:bottom w:val="none" w:sz="0" w:space="0" w:color="auto"/>
                                <w:right w:val="none" w:sz="0" w:space="0" w:color="auto"/>
                              </w:divBdr>
                              <w:divsChild>
                                <w:div w:id="1625041247">
                                  <w:marLeft w:val="0"/>
                                  <w:marRight w:val="0"/>
                                  <w:marTop w:val="0"/>
                                  <w:marBottom w:val="600"/>
                                  <w:divBdr>
                                    <w:top w:val="none" w:sz="0" w:space="0" w:color="auto"/>
                                    <w:left w:val="none" w:sz="0" w:space="0" w:color="auto"/>
                                    <w:bottom w:val="none" w:sz="0" w:space="0" w:color="auto"/>
                                    <w:right w:val="none" w:sz="0" w:space="0" w:color="auto"/>
                                  </w:divBdr>
                                  <w:divsChild>
                                    <w:div w:id="3706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50658">
                          <w:marLeft w:val="-225"/>
                          <w:marRight w:val="-225"/>
                          <w:marTop w:val="0"/>
                          <w:marBottom w:val="0"/>
                          <w:divBdr>
                            <w:top w:val="none" w:sz="0" w:space="0" w:color="auto"/>
                            <w:left w:val="none" w:sz="0" w:space="0" w:color="auto"/>
                            <w:bottom w:val="none" w:sz="0" w:space="0" w:color="auto"/>
                            <w:right w:val="none" w:sz="0" w:space="0" w:color="auto"/>
                          </w:divBdr>
                          <w:divsChild>
                            <w:div w:id="667755270">
                              <w:marLeft w:val="0"/>
                              <w:marRight w:val="0"/>
                              <w:marTop w:val="0"/>
                              <w:marBottom w:val="0"/>
                              <w:divBdr>
                                <w:top w:val="none" w:sz="0" w:space="0" w:color="auto"/>
                                <w:left w:val="none" w:sz="0" w:space="0" w:color="auto"/>
                                <w:bottom w:val="none" w:sz="0" w:space="0" w:color="auto"/>
                                <w:right w:val="none" w:sz="0" w:space="0" w:color="auto"/>
                              </w:divBdr>
                            </w:div>
                          </w:divsChild>
                        </w:div>
                        <w:div w:id="1662007318">
                          <w:marLeft w:val="-225"/>
                          <w:marRight w:val="-225"/>
                          <w:marTop w:val="0"/>
                          <w:marBottom w:val="0"/>
                          <w:divBdr>
                            <w:top w:val="none" w:sz="0" w:space="0" w:color="auto"/>
                            <w:left w:val="none" w:sz="0" w:space="0" w:color="auto"/>
                            <w:bottom w:val="none" w:sz="0" w:space="0" w:color="auto"/>
                            <w:right w:val="none" w:sz="0" w:space="0" w:color="auto"/>
                          </w:divBdr>
                          <w:divsChild>
                            <w:div w:id="549420170">
                              <w:marLeft w:val="0"/>
                              <w:marRight w:val="0"/>
                              <w:marTop w:val="0"/>
                              <w:marBottom w:val="0"/>
                              <w:divBdr>
                                <w:top w:val="none" w:sz="0" w:space="0" w:color="auto"/>
                                <w:left w:val="none" w:sz="0" w:space="0" w:color="auto"/>
                                <w:bottom w:val="none" w:sz="0" w:space="0" w:color="auto"/>
                                <w:right w:val="none" w:sz="0" w:space="0" w:color="auto"/>
                              </w:divBdr>
                            </w:div>
                          </w:divsChild>
                        </w:div>
                        <w:div w:id="759062951">
                          <w:marLeft w:val="-225"/>
                          <w:marRight w:val="-225"/>
                          <w:marTop w:val="0"/>
                          <w:marBottom w:val="0"/>
                          <w:divBdr>
                            <w:top w:val="none" w:sz="0" w:space="0" w:color="auto"/>
                            <w:left w:val="none" w:sz="0" w:space="0" w:color="auto"/>
                            <w:bottom w:val="none" w:sz="0" w:space="0" w:color="auto"/>
                            <w:right w:val="none" w:sz="0" w:space="0" w:color="auto"/>
                          </w:divBdr>
                          <w:divsChild>
                            <w:div w:id="1065640671">
                              <w:marLeft w:val="0"/>
                              <w:marRight w:val="0"/>
                              <w:marTop w:val="0"/>
                              <w:marBottom w:val="0"/>
                              <w:divBdr>
                                <w:top w:val="none" w:sz="0" w:space="0" w:color="auto"/>
                                <w:left w:val="none" w:sz="0" w:space="0" w:color="auto"/>
                                <w:bottom w:val="none" w:sz="0" w:space="0" w:color="auto"/>
                                <w:right w:val="none" w:sz="0" w:space="0" w:color="auto"/>
                              </w:divBdr>
                            </w:div>
                          </w:divsChild>
                        </w:div>
                        <w:div w:id="2012289831">
                          <w:marLeft w:val="-225"/>
                          <w:marRight w:val="-225"/>
                          <w:marTop w:val="0"/>
                          <w:marBottom w:val="0"/>
                          <w:divBdr>
                            <w:top w:val="none" w:sz="0" w:space="0" w:color="auto"/>
                            <w:left w:val="none" w:sz="0" w:space="0" w:color="auto"/>
                            <w:bottom w:val="none" w:sz="0" w:space="0" w:color="auto"/>
                            <w:right w:val="none" w:sz="0" w:space="0" w:color="auto"/>
                          </w:divBdr>
                          <w:divsChild>
                            <w:div w:id="1686520716">
                              <w:marLeft w:val="0"/>
                              <w:marRight w:val="0"/>
                              <w:marTop w:val="0"/>
                              <w:marBottom w:val="0"/>
                              <w:divBdr>
                                <w:top w:val="none" w:sz="0" w:space="0" w:color="auto"/>
                                <w:left w:val="none" w:sz="0" w:space="0" w:color="auto"/>
                                <w:bottom w:val="none" w:sz="0" w:space="0" w:color="auto"/>
                                <w:right w:val="none" w:sz="0" w:space="0" w:color="auto"/>
                              </w:divBdr>
                            </w:div>
                          </w:divsChild>
                        </w:div>
                        <w:div w:id="153842564">
                          <w:marLeft w:val="-225"/>
                          <w:marRight w:val="-225"/>
                          <w:marTop w:val="0"/>
                          <w:marBottom w:val="0"/>
                          <w:divBdr>
                            <w:top w:val="none" w:sz="0" w:space="0" w:color="auto"/>
                            <w:left w:val="none" w:sz="0" w:space="0" w:color="auto"/>
                            <w:bottom w:val="none" w:sz="0" w:space="0" w:color="auto"/>
                            <w:right w:val="none" w:sz="0" w:space="0" w:color="auto"/>
                          </w:divBdr>
                          <w:divsChild>
                            <w:div w:id="803545617">
                              <w:marLeft w:val="0"/>
                              <w:marRight w:val="0"/>
                              <w:marTop w:val="0"/>
                              <w:marBottom w:val="360"/>
                              <w:divBdr>
                                <w:top w:val="none" w:sz="0" w:space="0" w:color="auto"/>
                                <w:left w:val="none" w:sz="0" w:space="0" w:color="auto"/>
                                <w:bottom w:val="none" w:sz="0" w:space="0" w:color="auto"/>
                                <w:right w:val="none" w:sz="0" w:space="0" w:color="auto"/>
                              </w:divBdr>
                              <w:divsChild>
                                <w:div w:id="1289434123">
                                  <w:marLeft w:val="0"/>
                                  <w:marRight w:val="0"/>
                                  <w:marTop w:val="0"/>
                                  <w:marBottom w:val="600"/>
                                  <w:divBdr>
                                    <w:top w:val="none" w:sz="0" w:space="0" w:color="auto"/>
                                    <w:left w:val="none" w:sz="0" w:space="0" w:color="auto"/>
                                    <w:bottom w:val="none" w:sz="0" w:space="0" w:color="auto"/>
                                    <w:right w:val="none" w:sz="0" w:space="0" w:color="auto"/>
                                  </w:divBdr>
                                  <w:divsChild>
                                    <w:div w:id="948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7608">
                          <w:marLeft w:val="-225"/>
                          <w:marRight w:val="-225"/>
                          <w:marTop w:val="0"/>
                          <w:marBottom w:val="0"/>
                          <w:divBdr>
                            <w:top w:val="none" w:sz="0" w:space="0" w:color="auto"/>
                            <w:left w:val="none" w:sz="0" w:space="0" w:color="auto"/>
                            <w:bottom w:val="none" w:sz="0" w:space="0" w:color="auto"/>
                            <w:right w:val="none" w:sz="0" w:space="0" w:color="auto"/>
                          </w:divBdr>
                          <w:divsChild>
                            <w:div w:id="795876338">
                              <w:marLeft w:val="0"/>
                              <w:marRight w:val="0"/>
                              <w:marTop w:val="0"/>
                              <w:marBottom w:val="0"/>
                              <w:divBdr>
                                <w:top w:val="none" w:sz="0" w:space="0" w:color="auto"/>
                                <w:left w:val="none" w:sz="0" w:space="0" w:color="auto"/>
                                <w:bottom w:val="none" w:sz="0" w:space="0" w:color="auto"/>
                                <w:right w:val="none" w:sz="0" w:space="0" w:color="auto"/>
                              </w:divBdr>
                            </w:div>
                          </w:divsChild>
                        </w:div>
                        <w:div w:id="2059430677">
                          <w:marLeft w:val="-225"/>
                          <w:marRight w:val="-225"/>
                          <w:marTop w:val="0"/>
                          <w:marBottom w:val="0"/>
                          <w:divBdr>
                            <w:top w:val="none" w:sz="0" w:space="0" w:color="auto"/>
                            <w:left w:val="none" w:sz="0" w:space="0" w:color="auto"/>
                            <w:bottom w:val="none" w:sz="0" w:space="0" w:color="auto"/>
                            <w:right w:val="none" w:sz="0" w:space="0" w:color="auto"/>
                          </w:divBdr>
                          <w:divsChild>
                            <w:div w:id="1461652357">
                              <w:marLeft w:val="0"/>
                              <w:marRight w:val="0"/>
                              <w:marTop w:val="0"/>
                              <w:marBottom w:val="0"/>
                              <w:divBdr>
                                <w:top w:val="none" w:sz="0" w:space="0" w:color="auto"/>
                                <w:left w:val="none" w:sz="0" w:space="0" w:color="auto"/>
                                <w:bottom w:val="none" w:sz="0" w:space="0" w:color="auto"/>
                                <w:right w:val="none" w:sz="0" w:space="0" w:color="auto"/>
                              </w:divBdr>
                            </w:div>
                          </w:divsChild>
                        </w:div>
                        <w:div w:id="1294601627">
                          <w:marLeft w:val="-225"/>
                          <w:marRight w:val="-225"/>
                          <w:marTop w:val="0"/>
                          <w:marBottom w:val="0"/>
                          <w:divBdr>
                            <w:top w:val="none" w:sz="0" w:space="0" w:color="auto"/>
                            <w:left w:val="none" w:sz="0" w:space="0" w:color="auto"/>
                            <w:bottom w:val="none" w:sz="0" w:space="0" w:color="auto"/>
                            <w:right w:val="none" w:sz="0" w:space="0" w:color="auto"/>
                          </w:divBdr>
                          <w:divsChild>
                            <w:div w:id="708721320">
                              <w:marLeft w:val="0"/>
                              <w:marRight w:val="0"/>
                              <w:marTop w:val="0"/>
                              <w:marBottom w:val="0"/>
                              <w:divBdr>
                                <w:top w:val="none" w:sz="0" w:space="0" w:color="auto"/>
                                <w:left w:val="none" w:sz="0" w:space="0" w:color="auto"/>
                                <w:bottom w:val="none" w:sz="0" w:space="0" w:color="auto"/>
                                <w:right w:val="none" w:sz="0" w:space="0" w:color="auto"/>
                              </w:divBdr>
                            </w:div>
                          </w:divsChild>
                        </w:div>
                        <w:div w:id="1432706181">
                          <w:marLeft w:val="-225"/>
                          <w:marRight w:val="-225"/>
                          <w:marTop w:val="0"/>
                          <w:marBottom w:val="0"/>
                          <w:divBdr>
                            <w:top w:val="none" w:sz="0" w:space="0" w:color="auto"/>
                            <w:left w:val="none" w:sz="0" w:space="0" w:color="auto"/>
                            <w:bottom w:val="none" w:sz="0" w:space="0" w:color="auto"/>
                            <w:right w:val="none" w:sz="0" w:space="0" w:color="auto"/>
                          </w:divBdr>
                          <w:divsChild>
                            <w:div w:id="2080396489">
                              <w:marLeft w:val="0"/>
                              <w:marRight w:val="0"/>
                              <w:marTop w:val="0"/>
                              <w:marBottom w:val="0"/>
                              <w:divBdr>
                                <w:top w:val="none" w:sz="0" w:space="0" w:color="auto"/>
                                <w:left w:val="none" w:sz="0" w:space="0" w:color="auto"/>
                                <w:bottom w:val="none" w:sz="0" w:space="0" w:color="auto"/>
                                <w:right w:val="none" w:sz="0" w:space="0" w:color="auto"/>
                              </w:divBdr>
                            </w:div>
                          </w:divsChild>
                        </w:div>
                        <w:div w:id="2043363289">
                          <w:marLeft w:val="-225"/>
                          <w:marRight w:val="-225"/>
                          <w:marTop w:val="0"/>
                          <w:marBottom w:val="0"/>
                          <w:divBdr>
                            <w:top w:val="none" w:sz="0" w:space="0" w:color="auto"/>
                            <w:left w:val="none" w:sz="0" w:space="0" w:color="auto"/>
                            <w:bottom w:val="none" w:sz="0" w:space="0" w:color="auto"/>
                            <w:right w:val="none" w:sz="0" w:space="0" w:color="auto"/>
                          </w:divBdr>
                          <w:divsChild>
                            <w:div w:id="88933776">
                              <w:marLeft w:val="0"/>
                              <w:marRight w:val="0"/>
                              <w:marTop w:val="0"/>
                              <w:marBottom w:val="0"/>
                              <w:divBdr>
                                <w:top w:val="none" w:sz="0" w:space="0" w:color="auto"/>
                                <w:left w:val="none" w:sz="0" w:space="0" w:color="auto"/>
                                <w:bottom w:val="none" w:sz="0" w:space="0" w:color="auto"/>
                                <w:right w:val="none" w:sz="0" w:space="0" w:color="auto"/>
                              </w:divBdr>
                            </w:div>
                          </w:divsChild>
                        </w:div>
                        <w:div w:id="1745058060">
                          <w:marLeft w:val="-225"/>
                          <w:marRight w:val="-225"/>
                          <w:marTop w:val="0"/>
                          <w:marBottom w:val="0"/>
                          <w:divBdr>
                            <w:top w:val="none" w:sz="0" w:space="0" w:color="auto"/>
                            <w:left w:val="none" w:sz="0" w:space="0" w:color="auto"/>
                            <w:bottom w:val="none" w:sz="0" w:space="0" w:color="auto"/>
                            <w:right w:val="none" w:sz="0" w:space="0" w:color="auto"/>
                          </w:divBdr>
                          <w:divsChild>
                            <w:div w:id="1986887168">
                              <w:marLeft w:val="0"/>
                              <w:marRight w:val="0"/>
                              <w:marTop w:val="0"/>
                              <w:marBottom w:val="0"/>
                              <w:divBdr>
                                <w:top w:val="none" w:sz="0" w:space="0" w:color="auto"/>
                                <w:left w:val="none" w:sz="0" w:space="0" w:color="auto"/>
                                <w:bottom w:val="none" w:sz="0" w:space="0" w:color="auto"/>
                                <w:right w:val="none" w:sz="0" w:space="0" w:color="auto"/>
                              </w:divBdr>
                            </w:div>
                          </w:divsChild>
                        </w:div>
                        <w:div w:id="1495141680">
                          <w:marLeft w:val="-225"/>
                          <w:marRight w:val="-225"/>
                          <w:marTop w:val="0"/>
                          <w:marBottom w:val="0"/>
                          <w:divBdr>
                            <w:top w:val="none" w:sz="0" w:space="0" w:color="auto"/>
                            <w:left w:val="none" w:sz="0" w:space="0" w:color="auto"/>
                            <w:bottom w:val="none" w:sz="0" w:space="0" w:color="auto"/>
                            <w:right w:val="none" w:sz="0" w:space="0" w:color="auto"/>
                          </w:divBdr>
                          <w:divsChild>
                            <w:div w:id="1755661816">
                              <w:marLeft w:val="0"/>
                              <w:marRight w:val="0"/>
                              <w:marTop w:val="0"/>
                              <w:marBottom w:val="0"/>
                              <w:divBdr>
                                <w:top w:val="none" w:sz="0" w:space="0" w:color="auto"/>
                                <w:left w:val="none" w:sz="0" w:space="0" w:color="auto"/>
                                <w:bottom w:val="none" w:sz="0" w:space="0" w:color="auto"/>
                                <w:right w:val="none" w:sz="0" w:space="0" w:color="auto"/>
                              </w:divBdr>
                            </w:div>
                          </w:divsChild>
                        </w:div>
                        <w:div w:id="1631402166">
                          <w:marLeft w:val="-225"/>
                          <w:marRight w:val="-225"/>
                          <w:marTop w:val="0"/>
                          <w:marBottom w:val="0"/>
                          <w:divBdr>
                            <w:top w:val="none" w:sz="0" w:space="0" w:color="auto"/>
                            <w:left w:val="none" w:sz="0" w:space="0" w:color="auto"/>
                            <w:bottom w:val="none" w:sz="0" w:space="0" w:color="auto"/>
                            <w:right w:val="none" w:sz="0" w:space="0" w:color="auto"/>
                          </w:divBdr>
                          <w:divsChild>
                            <w:div w:id="1850174851">
                              <w:marLeft w:val="0"/>
                              <w:marRight w:val="0"/>
                              <w:marTop w:val="0"/>
                              <w:marBottom w:val="0"/>
                              <w:divBdr>
                                <w:top w:val="none" w:sz="0" w:space="0" w:color="auto"/>
                                <w:left w:val="none" w:sz="0" w:space="0" w:color="auto"/>
                                <w:bottom w:val="none" w:sz="0" w:space="0" w:color="auto"/>
                                <w:right w:val="none" w:sz="0" w:space="0" w:color="auto"/>
                              </w:divBdr>
                            </w:div>
                          </w:divsChild>
                        </w:div>
                        <w:div w:id="1666742368">
                          <w:marLeft w:val="-225"/>
                          <w:marRight w:val="-225"/>
                          <w:marTop w:val="0"/>
                          <w:marBottom w:val="0"/>
                          <w:divBdr>
                            <w:top w:val="none" w:sz="0" w:space="0" w:color="auto"/>
                            <w:left w:val="none" w:sz="0" w:space="0" w:color="auto"/>
                            <w:bottom w:val="none" w:sz="0" w:space="0" w:color="auto"/>
                            <w:right w:val="none" w:sz="0" w:space="0" w:color="auto"/>
                          </w:divBdr>
                          <w:divsChild>
                            <w:div w:id="12236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ion.com/economia/indicadores/pobreza-total-de-costa-rica-se-mantiene-y-la-extrema-se-reduce/I6NGELVA6VEIDDY63OCQQVIEYM/stor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nacion.com/el-pais/politica/ministra-de-hacienda-si-se-erosiona-mas-el-plan/XHF7GQQB35BMHGRXKH2UYHJNYU/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acion.com/el-pais/politica/contraloria-problemas-de-liquidez-del-gobierno/PMLLSOHEQVAW3ND6ZKD2UWSR2I/story/" TargetMode="External"/><Relationship Id="rId5" Type="http://schemas.openxmlformats.org/officeDocument/2006/relationships/hyperlink" Target="https://www.nacion.com/autores/sofia-chinchilla/" TargetMode="External"/><Relationship Id="rId10" Type="http://schemas.openxmlformats.org/officeDocument/2006/relationships/hyperlink" Target="https://www.nacion.com/el-pais/politica/1-de-cada-4-hogares-recibe-subsidios-del-estado/2V2GWKTQBJBRBE2S7A7JDRK6UQ/story/" TargetMode="External"/><Relationship Id="rId4" Type="http://schemas.openxmlformats.org/officeDocument/2006/relationships/hyperlink" Target="https://www.nacion.com/el-pais/politica/pobreza-extrema-se-duplicaria-si-se-eliminan/JIPIDYW2ZVG3NCOZVOZ4EHBQS4/story/" TargetMode="External"/><Relationship Id="rId9" Type="http://schemas.openxmlformats.org/officeDocument/2006/relationships/hyperlink" Target="https://www.nacion.com/economia/politica-economica/pobreza-en-costa-rica-se-elevo-a-211-de-los/VLGSOJSIXFFWTPVTCGII23BLBA/stor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1398</Words>
  <Characters>7694</Characters>
  <Application>Microsoft Office Word</Application>
  <DocSecurity>0</DocSecurity>
  <Lines>64</Lines>
  <Paragraphs>18</Paragraphs>
  <ScaleCrop>false</ScaleCrop>
  <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2018-12-05T15:05:00Z</dcterms:created>
  <dcterms:modified xsi:type="dcterms:W3CDTF">2018-12-05T15:07:00Z</dcterms:modified>
</cp:coreProperties>
</file>