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70F" w:rsidRPr="00545EEB" w:rsidRDefault="00545EEB">
      <w:pPr>
        <w:rPr>
          <w:lang w:val="en-US"/>
        </w:rPr>
      </w:pPr>
      <w:r w:rsidRPr="00545EEB">
        <w:rPr>
          <w:lang w:val="en-US"/>
        </w:rPr>
        <w:t xml:space="preserve">Enlace: </w:t>
      </w:r>
      <w:hyperlink r:id="rId4" w:history="1">
        <w:r w:rsidRPr="00545EEB">
          <w:rPr>
            <w:rStyle w:val="Hipervnculo"/>
            <w:lang w:val="en-US"/>
          </w:rPr>
          <w:t>https://www.nacion.com/ciencia/medio-ambiente/condominios-y-apartamentos-ganan-terreno-en-la-gam/QQHCRWI7N5EQHEDINNNKQ62PFQ/story/</w:t>
        </w:r>
      </w:hyperlink>
    </w:p>
    <w:p w:rsidR="00545EEB" w:rsidRPr="00545EEB" w:rsidRDefault="00545EEB">
      <w:pPr>
        <w:rPr>
          <w:lang w:val="en-US"/>
        </w:rPr>
      </w:pPr>
    </w:p>
    <w:p w:rsidR="00545EEB" w:rsidRDefault="00545EEB" w:rsidP="00545EEB">
      <w:pPr>
        <w:spacing w:line="750" w:lineRule="atLeast"/>
        <w:rPr>
          <w:rFonts w:ascii="Arial" w:hAnsi="Arial" w:cs="Arial"/>
          <w:b/>
          <w:bCs/>
          <w:color w:val="000000"/>
          <w:spacing w:val="15"/>
          <w:sz w:val="60"/>
          <w:szCs w:val="60"/>
        </w:rPr>
      </w:pPr>
      <w:bookmarkStart w:id="0" w:name="_GoBack"/>
      <w:r>
        <w:rPr>
          <w:rFonts w:ascii="Arial" w:hAnsi="Arial" w:cs="Arial"/>
          <w:b/>
          <w:bCs/>
          <w:color w:val="000000"/>
          <w:spacing w:val="15"/>
          <w:sz w:val="60"/>
          <w:szCs w:val="60"/>
        </w:rPr>
        <w:t>Condominios y apartamentos ganan terreno en la GAM</w:t>
      </w:r>
    </w:p>
    <w:bookmarkEnd w:id="0"/>
    <w:p w:rsidR="00545EEB" w:rsidRDefault="00545EEB" w:rsidP="00545EEB">
      <w:pPr>
        <w:pStyle w:val="subheadline"/>
        <w:spacing w:before="0" w:beforeAutospacing="0" w:after="450" w:afterAutospacing="0" w:line="315" w:lineRule="atLeast"/>
        <w:ind w:right="-225"/>
        <w:rPr>
          <w:rFonts w:ascii="Arial" w:hAnsi="Arial" w:cs="Arial"/>
          <w:color w:val="4A4A4A"/>
          <w:sz w:val="27"/>
          <w:szCs w:val="27"/>
        </w:rPr>
      </w:pPr>
      <w:r>
        <w:rPr>
          <w:rFonts w:ascii="Arial" w:hAnsi="Arial" w:cs="Arial"/>
          <w:color w:val="4A4A4A"/>
          <w:sz w:val="27"/>
          <w:szCs w:val="27"/>
        </w:rPr>
        <w:t>Estas edificaciones pasaron de representar un 5,2% del total del área construida en 1990, a un 25,2% en 2017. El 80% se localiza en 24 distritos, sobre todo en zonas hacia el oeste y norte.</w:t>
      </w:r>
    </w:p>
    <w:p w:rsidR="00545EEB" w:rsidRDefault="00545EEB" w:rsidP="00545EEB">
      <w:pPr>
        <w:rPr>
          <w:rFonts w:ascii="Times New Roman" w:hAnsi="Times New Roman" w:cs="Times New Roman"/>
          <w:sz w:val="24"/>
          <w:szCs w:val="24"/>
        </w:rPr>
      </w:pPr>
      <w:hyperlink r:id="rId5" w:history="1">
        <w:r>
          <w:rPr>
            <w:rStyle w:val="Hipervnculo"/>
            <w:rFonts w:ascii="Arial" w:hAnsi="Arial" w:cs="Arial"/>
            <w:b/>
            <w:bCs/>
            <w:sz w:val="21"/>
            <w:szCs w:val="21"/>
          </w:rPr>
          <w:t>Lucía Astorga</w:t>
        </w:r>
      </w:hyperlink>
      <w:r>
        <w:rPr>
          <w:rStyle w:val="author"/>
          <w:rFonts w:ascii="Arial" w:hAnsi="Arial" w:cs="Arial"/>
          <w:color w:val="4A90E2"/>
          <w:sz w:val="21"/>
          <w:szCs w:val="21"/>
        </w:rPr>
        <w:t>. Hace 2 días</w:t>
      </w:r>
    </w:p>
    <w:p w:rsidR="00545EEB" w:rsidRDefault="00545EEB" w:rsidP="00545EEB">
      <w:pPr>
        <w:rPr>
          <w:rFonts w:ascii="Arial" w:hAnsi="Arial" w:cs="Arial"/>
          <w:sz w:val="27"/>
          <w:szCs w:val="27"/>
        </w:rPr>
      </w:pPr>
      <w:r>
        <w:rPr>
          <w:rFonts w:ascii="Arial" w:hAnsi="Arial" w:cs="Arial"/>
          <w:noProof/>
          <w:sz w:val="27"/>
          <w:szCs w:val="27"/>
          <w:lang w:eastAsia="es-ES"/>
        </w:rPr>
        <w:drawing>
          <wp:inline distT="0" distB="0" distL="0" distR="0">
            <wp:extent cx="5324475" cy="3546184"/>
            <wp:effectExtent l="0" t="0" r="0" b="0"/>
            <wp:docPr id="1" name="Imagen 1" descr="El desarrollo de condominios y departamentos ha tenido un importante crecimiento en los últimos 27 años. Foto con fines ilustrativos. Fotógrafo: Albert Mar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JL3ZIQN4JAKXK2GZX67TV53XA" descr="El desarrollo de condominios y departamentos ha tenido un importante crecimiento en los últimos 27 años. Foto con fines ilustrativos. Fotógrafo: Albert Marí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40586" cy="3556914"/>
                    </a:xfrm>
                    <a:prstGeom prst="rect">
                      <a:avLst/>
                    </a:prstGeom>
                    <a:noFill/>
                    <a:ln>
                      <a:noFill/>
                    </a:ln>
                  </pic:spPr>
                </pic:pic>
              </a:graphicData>
            </a:graphic>
          </wp:inline>
        </w:drawing>
      </w:r>
    </w:p>
    <w:p w:rsidR="00545EEB" w:rsidRDefault="00545EEB" w:rsidP="00545EEB">
      <w:pPr>
        <w:rPr>
          <w:rFonts w:ascii="Times New Roman" w:hAnsi="Times New Roman" w:cs="Times New Roman"/>
          <w:sz w:val="24"/>
          <w:szCs w:val="24"/>
        </w:rPr>
      </w:pPr>
      <w:r>
        <w:rPr>
          <w:rStyle w:val="credit"/>
          <w:rFonts w:ascii="Arial" w:hAnsi="Arial" w:cs="Arial"/>
          <w:color w:val="4A4A4A"/>
          <w:sz w:val="21"/>
          <w:szCs w:val="21"/>
        </w:rPr>
        <w:t>El desarrollo de condominios y departamentos ha tenido un importante crecimiento en los últimos 27 años. Foto con fines ilustrativos. Fotógrafo: Albert Marín.</w:t>
      </w:r>
    </w:p>
    <w:p w:rsidR="00545EEB" w:rsidRDefault="00545EEB" w:rsidP="00545EEB">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Los condominios y apartamentos se han convertido en los nuevos barrios para muchos de los habitantes de la Gran Área Metropolitana (GAM).</w:t>
      </w:r>
    </w:p>
    <w:p w:rsidR="00545EEB" w:rsidRDefault="00545EEB" w:rsidP="00545EEB">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lastRenderedPageBreak/>
        <w:t xml:space="preserve">En los últimos 27 años, estas edificaciones pasaron de representar en 1990. </w:t>
      </w:r>
      <w:proofErr w:type="gramStart"/>
      <w:r>
        <w:rPr>
          <w:rFonts w:ascii="Arial" w:hAnsi="Arial" w:cs="Arial"/>
          <w:color w:val="000000"/>
          <w:sz w:val="27"/>
          <w:szCs w:val="27"/>
        </w:rPr>
        <w:t>un</w:t>
      </w:r>
      <w:proofErr w:type="gramEnd"/>
      <w:r>
        <w:rPr>
          <w:rFonts w:ascii="Arial" w:hAnsi="Arial" w:cs="Arial"/>
          <w:color w:val="000000"/>
          <w:sz w:val="27"/>
          <w:szCs w:val="27"/>
        </w:rPr>
        <w:t xml:space="preserve"> 5,2% del área construida de la GAM, a significar un 25% del espacio para el 2017, según datos del más reciente informe del Estado de la Nación.</w:t>
      </w:r>
    </w:p>
    <w:p w:rsidR="00545EEB" w:rsidRDefault="00545EEB" w:rsidP="00545EEB">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Un análisis de la base de datos de permisos de construcción del Instituto Nacional de Estadística y Censo (INEC) para el período 2013-2016, permitió determinar que durante ese periodo, las viviendas representaron un 41,5% de las construcciones; los condominios y apartamentos un 23,5% y los locales comerciales un 12%; industrias, oficinas y otros tipos completan el total.</w:t>
      </w:r>
    </w:p>
    <w:p w:rsidR="00545EEB" w:rsidRDefault="00545EEB" w:rsidP="00545EEB">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El documento del Estado de la Nación señala que el 80% de los condominios y departamentos se localiza en 24 distritos, sobre todo en zonas hacia el oeste y norte del centro de la GAM.</w:t>
      </w:r>
    </w:p>
    <w:p w:rsidR="00545EEB" w:rsidRDefault="00545EEB" w:rsidP="00545EEB">
      <w:pPr>
        <w:pStyle w:val="Ttulo3"/>
        <w:spacing w:before="300" w:beforeAutospacing="0" w:after="150" w:afterAutospacing="0" w:line="240" w:lineRule="atLeast"/>
        <w:jc w:val="center"/>
        <w:rPr>
          <w:rFonts w:ascii="Arial" w:hAnsi="Arial" w:cs="Arial"/>
          <w:color w:val="4A4A4A"/>
          <w:spacing w:val="-7"/>
          <w:sz w:val="21"/>
          <w:szCs w:val="21"/>
        </w:rPr>
      </w:pPr>
      <w:r>
        <w:rPr>
          <w:rFonts w:ascii="Arial" w:hAnsi="Arial" w:cs="Arial"/>
          <w:color w:val="4A4A4A"/>
          <w:spacing w:val="-7"/>
          <w:sz w:val="21"/>
          <w:szCs w:val="21"/>
        </w:rPr>
        <w:t>LEA TAMBIÉN</w:t>
      </w:r>
    </w:p>
    <w:p w:rsidR="00545EEB" w:rsidRDefault="00545EEB" w:rsidP="00545EEB">
      <w:pPr>
        <w:pStyle w:val="NormalWeb"/>
        <w:spacing w:before="0" w:beforeAutospacing="0" w:after="150" w:afterAutospacing="0" w:line="315" w:lineRule="atLeast"/>
        <w:jc w:val="center"/>
        <w:rPr>
          <w:rFonts w:ascii="Arial" w:hAnsi="Arial" w:cs="Arial"/>
          <w:b/>
          <w:bCs/>
          <w:color w:val="4A90E2"/>
          <w:sz w:val="27"/>
          <w:szCs w:val="27"/>
        </w:rPr>
      </w:pPr>
      <w:hyperlink r:id="rId7" w:history="1">
        <w:r>
          <w:rPr>
            <w:rStyle w:val="Hipervnculo"/>
            <w:rFonts w:ascii="Arial" w:hAnsi="Arial" w:cs="Arial"/>
            <w:b/>
            <w:bCs/>
            <w:color w:val="4A90E2"/>
            <w:sz w:val="27"/>
            <w:szCs w:val="27"/>
          </w:rPr>
          <w:t>¿Cuáles lugares de la GAM se quedaron prácticamente sin espacio para urbanizar?</w:t>
        </w:r>
      </w:hyperlink>
    </w:p>
    <w:p w:rsidR="00545EEB" w:rsidRDefault="00545EEB" w:rsidP="00545EEB">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 xml:space="preserve">Estos se ubican en: La </w:t>
      </w:r>
      <w:proofErr w:type="spellStart"/>
      <w:r>
        <w:rPr>
          <w:rFonts w:ascii="Arial" w:hAnsi="Arial" w:cs="Arial"/>
          <w:color w:val="000000"/>
          <w:sz w:val="27"/>
          <w:szCs w:val="27"/>
        </w:rPr>
        <w:t>Uruca</w:t>
      </w:r>
      <w:proofErr w:type="spellEnd"/>
      <w:r>
        <w:rPr>
          <w:rFonts w:ascii="Arial" w:hAnsi="Arial" w:cs="Arial"/>
          <w:color w:val="000000"/>
          <w:sz w:val="27"/>
          <w:szCs w:val="27"/>
        </w:rPr>
        <w:t xml:space="preserve">, Mata Redonda, Pavas y Hatillo en el cantón de San José, los distritos de San Rafael y Escazú, Ciudad Colon en Mora, la mayor parte de los distritos de San Ana (Pozos, Piedades, </w:t>
      </w:r>
      <w:proofErr w:type="spellStart"/>
      <w:r>
        <w:rPr>
          <w:rFonts w:ascii="Arial" w:hAnsi="Arial" w:cs="Arial"/>
          <w:color w:val="000000"/>
          <w:sz w:val="27"/>
          <w:szCs w:val="27"/>
        </w:rPr>
        <w:t>Uruca</w:t>
      </w:r>
      <w:proofErr w:type="spellEnd"/>
      <w:r>
        <w:rPr>
          <w:rFonts w:ascii="Arial" w:hAnsi="Arial" w:cs="Arial"/>
          <w:color w:val="000000"/>
          <w:sz w:val="27"/>
          <w:szCs w:val="27"/>
        </w:rPr>
        <w:t xml:space="preserve">, Brasil y Santa Ana), el distrito central de </w:t>
      </w:r>
      <w:proofErr w:type="spellStart"/>
      <w:r>
        <w:rPr>
          <w:rFonts w:ascii="Arial" w:hAnsi="Arial" w:cs="Arial"/>
          <w:color w:val="000000"/>
          <w:sz w:val="27"/>
          <w:szCs w:val="27"/>
        </w:rPr>
        <w:t>Alajuelita</w:t>
      </w:r>
      <w:proofErr w:type="spellEnd"/>
      <w:r>
        <w:rPr>
          <w:rFonts w:ascii="Arial" w:hAnsi="Arial" w:cs="Arial"/>
          <w:color w:val="000000"/>
          <w:sz w:val="27"/>
          <w:szCs w:val="27"/>
        </w:rPr>
        <w:t>, San Pedro en Montes de Oca, Curridabat y Granadilla y los distritos de Alajuela (Guácima y San Rafael).</w:t>
      </w:r>
    </w:p>
    <w:p w:rsidR="00545EEB" w:rsidRDefault="00545EEB" w:rsidP="00545EEB">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En el cantón de Cartago se ubica el distrito de San Nicolás y Concepción de la Unión. En el caso de Heredia, el distrito central y Ulloa forman parte de esta lista, así como el distrito central del cantón de San Pablo.</w:t>
      </w:r>
    </w:p>
    <w:p w:rsidR="00545EEB" w:rsidRDefault="00545EEB" w:rsidP="00545EEB">
      <w:pPr>
        <w:rPr>
          <w:rFonts w:ascii="Arial" w:hAnsi="Arial" w:cs="Arial"/>
          <w:sz w:val="27"/>
          <w:szCs w:val="27"/>
        </w:rPr>
      </w:pPr>
      <w:r>
        <w:rPr>
          <w:rStyle w:val="element1"/>
          <w:rFonts w:ascii="Arial" w:hAnsi="Arial" w:cs="Arial"/>
          <w:color w:val="4A4A4A"/>
          <w:sz w:val="36"/>
          <w:szCs w:val="36"/>
        </w:rPr>
        <w:t>Compensar carencias</w:t>
      </w:r>
    </w:p>
    <w:p w:rsidR="00545EEB" w:rsidRDefault="00545EEB" w:rsidP="00545EEB">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 xml:space="preserve">Para el ingeniero Javier Chacón, director de Operaciones del Colegio Federado de Ingenieros y Arquitectos (CFIA), la construcción bajo el formato en condominio viene a intentar compensar carencias en materia de seguridad y mantenimiento de espacios públicos, que </w:t>
      </w:r>
      <w:r>
        <w:rPr>
          <w:rFonts w:ascii="Arial" w:hAnsi="Arial" w:cs="Arial"/>
          <w:color w:val="000000"/>
          <w:sz w:val="27"/>
          <w:szCs w:val="27"/>
        </w:rPr>
        <w:lastRenderedPageBreak/>
        <w:t>algunas municipalidades y gobierno central no priorizaron en décadas pasadas.</w:t>
      </w:r>
    </w:p>
    <w:p w:rsidR="00545EEB" w:rsidRDefault="00545EEB" w:rsidP="00545EEB">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“Al existir espacios cerrados con su propia administración, se pueden decidir normas de seguridad de mayor nivel, o generar espacios públicos con mayor inversión (por ejemplo, piscinas o gimnasios)”, indicó.</w:t>
      </w:r>
    </w:p>
    <w:p w:rsidR="00545EEB" w:rsidRDefault="00545EEB" w:rsidP="00545EEB">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Chacón aclaró que esto no debe verse como un elemento negativo, y que es importante que las municipalidades continúen trabajando en la mejora de los espacios públicos, pues muchos elementos de mejora en calidad de vida se pueden empezar en estos sitios.</w:t>
      </w:r>
    </w:p>
    <w:p w:rsidR="00545EEB" w:rsidRDefault="00545EEB" w:rsidP="00545EEB">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Eso sí, el ingeniero recomendó que en “términos de uso del espacio, es importante garantizar que la construcción de condominio en fincas de grandes dimensiones no genere islas de viviendas que permitan generar vías de conexión entre sectores que actualmente están con problemas de movilidad en vehículo".</w:t>
      </w:r>
    </w:p>
    <w:p w:rsidR="00545EEB" w:rsidRPr="00545EEB" w:rsidRDefault="00545EEB" w:rsidP="00545EEB">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“La municipalidad debe realizar acciones en conjunto con los dueños de terrenos y los desarrolladores, para garantizar que la construcción de nuevos proyectos no venga solamente a generar más tránsito, sino que ofrezca alternativas de movilidad a los entornos urbanos de la GAM”, acotó.</w:t>
      </w:r>
    </w:p>
    <w:sectPr w:rsidR="00545EEB" w:rsidRPr="00545EE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EEB"/>
    <w:rsid w:val="002F1ABE"/>
    <w:rsid w:val="00545EEB"/>
    <w:rsid w:val="00744CFE"/>
    <w:rsid w:val="00A967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CC0718-B92B-4102-921D-92B973869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545EE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45EEB"/>
    <w:rPr>
      <w:color w:val="0563C1" w:themeColor="hyperlink"/>
      <w:u w:val="single"/>
    </w:rPr>
  </w:style>
  <w:style w:type="character" w:customStyle="1" w:styleId="Ttulo3Car">
    <w:name w:val="Título 3 Car"/>
    <w:basedOn w:val="Fuentedeprrafopredeter"/>
    <w:link w:val="Ttulo3"/>
    <w:uiPriority w:val="9"/>
    <w:rsid w:val="00545EEB"/>
    <w:rPr>
      <w:rFonts w:ascii="Times New Roman" w:eastAsia="Times New Roman" w:hAnsi="Times New Roman" w:cs="Times New Roman"/>
      <w:b/>
      <w:bCs/>
      <w:sz w:val="27"/>
      <w:szCs w:val="27"/>
      <w:lang w:eastAsia="es-ES"/>
    </w:rPr>
  </w:style>
  <w:style w:type="paragraph" w:customStyle="1" w:styleId="subheadline">
    <w:name w:val="subheadline"/>
    <w:basedOn w:val="Normal"/>
    <w:rsid w:val="00545EE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uthor">
    <w:name w:val="author"/>
    <w:basedOn w:val="Fuentedeprrafopredeter"/>
    <w:rsid w:val="00545EEB"/>
  </w:style>
  <w:style w:type="character" w:customStyle="1" w:styleId="credit">
    <w:name w:val="credit"/>
    <w:basedOn w:val="Fuentedeprrafopredeter"/>
    <w:rsid w:val="00545EEB"/>
  </w:style>
  <w:style w:type="paragraph" w:customStyle="1" w:styleId="element">
    <w:name w:val="element"/>
    <w:basedOn w:val="Normal"/>
    <w:rsid w:val="00545EE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545EEB"/>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lement1">
    <w:name w:val="element1"/>
    <w:basedOn w:val="Fuentedeprrafopredeter"/>
    <w:rsid w:val="0054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394326">
      <w:bodyDiv w:val="1"/>
      <w:marLeft w:val="0"/>
      <w:marRight w:val="0"/>
      <w:marTop w:val="0"/>
      <w:marBottom w:val="0"/>
      <w:divBdr>
        <w:top w:val="none" w:sz="0" w:space="0" w:color="auto"/>
        <w:left w:val="none" w:sz="0" w:space="0" w:color="auto"/>
        <w:bottom w:val="none" w:sz="0" w:space="0" w:color="auto"/>
        <w:right w:val="none" w:sz="0" w:space="0" w:color="auto"/>
      </w:divBdr>
      <w:divsChild>
        <w:div w:id="1796866335">
          <w:marLeft w:val="0"/>
          <w:marRight w:val="0"/>
          <w:marTop w:val="0"/>
          <w:marBottom w:val="0"/>
          <w:divBdr>
            <w:top w:val="none" w:sz="0" w:space="0" w:color="auto"/>
            <w:left w:val="none" w:sz="0" w:space="0" w:color="auto"/>
            <w:bottom w:val="none" w:sz="0" w:space="0" w:color="auto"/>
            <w:right w:val="none" w:sz="0" w:space="0" w:color="auto"/>
          </w:divBdr>
          <w:divsChild>
            <w:div w:id="12658937">
              <w:marLeft w:val="0"/>
              <w:marRight w:val="0"/>
              <w:marTop w:val="0"/>
              <w:marBottom w:val="0"/>
              <w:divBdr>
                <w:top w:val="none" w:sz="0" w:space="0" w:color="auto"/>
                <w:left w:val="none" w:sz="0" w:space="0" w:color="auto"/>
                <w:bottom w:val="none" w:sz="0" w:space="0" w:color="auto"/>
                <w:right w:val="none" w:sz="0" w:space="0" w:color="auto"/>
              </w:divBdr>
              <w:divsChild>
                <w:div w:id="1972244718">
                  <w:marLeft w:val="-225"/>
                  <w:marRight w:val="-225"/>
                  <w:marTop w:val="0"/>
                  <w:marBottom w:val="0"/>
                  <w:divBdr>
                    <w:top w:val="none" w:sz="0" w:space="0" w:color="auto"/>
                    <w:left w:val="none" w:sz="0" w:space="0" w:color="auto"/>
                    <w:bottom w:val="none" w:sz="0" w:space="0" w:color="auto"/>
                    <w:right w:val="none" w:sz="0" w:space="0" w:color="auto"/>
                  </w:divBdr>
                  <w:divsChild>
                    <w:div w:id="173886325">
                      <w:marLeft w:val="0"/>
                      <w:marRight w:val="0"/>
                      <w:marTop w:val="120"/>
                      <w:marBottom w:val="225"/>
                      <w:divBdr>
                        <w:top w:val="none" w:sz="0" w:space="0" w:color="auto"/>
                        <w:left w:val="none" w:sz="0" w:space="0" w:color="auto"/>
                        <w:bottom w:val="none" w:sz="0" w:space="0" w:color="auto"/>
                        <w:right w:val="none" w:sz="0" w:space="0" w:color="auto"/>
                      </w:divBdr>
                    </w:div>
                  </w:divsChild>
                </w:div>
              </w:divsChild>
            </w:div>
          </w:divsChild>
        </w:div>
        <w:div w:id="1858228486">
          <w:marLeft w:val="0"/>
          <w:marRight w:val="0"/>
          <w:marTop w:val="0"/>
          <w:marBottom w:val="0"/>
          <w:divBdr>
            <w:top w:val="none" w:sz="0" w:space="0" w:color="auto"/>
            <w:left w:val="none" w:sz="0" w:space="0" w:color="auto"/>
            <w:bottom w:val="none" w:sz="0" w:space="0" w:color="auto"/>
            <w:right w:val="none" w:sz="0" w:space="0" w:color="auto"/>
          </w:divBdr>
          <w:divsChild>
            <w:div w:id="1789817827">
              <w:marLeft w:val="0"/>
              <w:marRight w:val="0"/>
              <w:marTop w:val="0"/>
              <w:marBottom w:val="0"/>
              <w:divBdr>
                <w:top w:val="none" w:sz="0" w:space="0" w:color="auto"/>
                <w:left w:val="none" w:sz="0" w:space="0" w:color="auto"/>
                <w:bottom w:val="none" w:sz="0" w:space="0" w:color="auto"/>
                <w:right w:val="none" w:sz="0" w:space="0" w:color="auto"/>
              </w:divBdr>
              <w:divsChild>
                <w:div w:id="736365828">
                  <w:marLeft w:val="0"/>
                  <w:marRight w:val="0"/>
                  <w:marTop w:val="0"/>
                  <w:marBottom w:val="300"/>
                  <w:divBdr>
                    <w:top w:val="none" w:sz="0" w:space="0" w:color="auto"/>
                    <w:left w:val="none" w:sz="0" w:space="0" w:color="auto"/>
                    <w:bottom w:val="none" w:sz="0" w:space="0" w:color="auto"/>
                    <w:right w:val="none" w:sz="0" w:space="0" w:color="auto"/>
                  </w:divBdr>
                  <w:divsChild>
                    <w:div w:id="2022320072">
                      <w:marLeft w:val="0"/>
                      <w:marRight w:val="0"/>
                      <w:marTop w:val="0"/>
                      <w:marBottom w:val="0"/>
                      <w:divBdr>
                        <w:top w:val="none" w:sz="0" w:space="0" w:color="auto"/>
                        <w:left w:val="none" w:sz="0" w:space="0" w:color="auto"/>
                        <w:bottom w:val="none" w:sz="0" w:space="0" w:color="auto"/>
                        <w:right w:val="none" w:sz="0" w:space="0" w:color="auto"/>
                      </w:divBdr>
                      <w:divsChild>
                        <w:div w:id="590815522">
                          <w:marLeft w:val="-225"/>
                          <w:marRight w:val="-225"/>
                          <w:marTop w:val="0"/>
                          <w:marBottom w:val="0"/>
                          <w:divBdr>
                            <w:top w:val="none" w:sz="0" w:space="0" w:color="auto"/>
                            <w:left w:val="none" w:sz="0" w:space="0" w:color="auto"/>
                            <w:bottom w:val="none" w:sz="0" w:space="0" w:color="auto"/>
                            <w:right w:val="none" w:sz="0" w:space="0" w:color="auto"/>
                          </w:divBdr>
                          <w:divsChild>
                            <w:div w:id="2070110372">
                              <w:marLeft w:val="0"/>
                              <w:marRight w:val="0"/>
                              <w:marTop w:val="0"/>
                              <w:marBottom w:val="75"/>
                              <w:divBdr>
                                <w:top w:val="none" w:sz="0" w:space="0" w:color="auto"/>
                                <w:left w:val="none" w:sz="0" w:space="0" w:color="auto"/>
                                <w:bottom w:val="none" w:sz="0" w:space="0" w:color="auto"/>
                                <w:right w:val="none" w:sz="0" w:space="0" w:color="auto"/>
                              </w:divBdr>
                              <w:divsChild>
                                <w:div w:id="48335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58717">
                          <w:marLeft w:val="-225"/>
                          <w:marRight w:val="-225"/>
                          <w:marTop w:val="0"/>
                          <w:marBottom w:val="0"/>
                          <w:divBdr>
                            <w:top w:val="none" w:sz="0" w:space="0" w:color="auto"/>
                            <w:left w:val="none" w:sz="0" w:space="0" w:color="auto"/>
                            <w:bottom w:val="none" w:sz="0" w:space="0" w:color="auto"/>
                            <w:right w:val="none" w:sz="0" w:space="0" w:color="auto"/>
                          </w:divBdr>
                          <w:divsChild>
                            <w:div w:id="392581266">
                              <w:marLeft w:val="0"/>
                              <w:marRight w:val="0"/>
                              <w:marTop w:val="0"/>
                              <w:marBottom w:val="0"/>
                              <w:divBdr>
                                <w:top w:val="none" w:sz="0" w:space="0" w:color="auto"/>
                                <w:left w:val="none" w:sz="0" w:space="0" w:color="auto"/>
                                <w:bottom w:val="none" w:sz="0" w:space="0" w:color="auto"/>
                                <w:right w:val="none" w:sz="0" w:space="0" w:color="auto"/>
                              </w:divBdr>
                            </w:div>
                          </w:divsChild>
                        </w:div>
                        <w:div w:id="2131050494">
                          <w:marLeft w:val="-225"/>
                          <w:marRight w:val="-225"/>
                          <w:marTop w:val="0"/>
                          <w:marBottom w:val="0"/>
                          <w:divBdr>
                            <w:top w:val="none" w:sz="0" w:space="0" w:color="auto"/>
                            <w:left w:val="none" w:sz="0" w:space="0" w:color="auto"/>
                            <w:bottom w:val="none" w:sz="0" w:space="0" w:color="auto"/>
                            <w:right w:val="none" w:sz="0" w:space="0" w:color="auto"/>
                          </w:divBdr>
                          <w:divsChild>
                            <w:div w:id="859779412">
                              <w:marLeft w:val="0"/>
                              <w:marRight w:val="0"/>
                              <w:marTop w:val="0"/>
                              <w:marBottom w:val="0"/>
                              <w:divBdr>
                                <w:top w:val="none" w:sz="0" w:space="0" w:color="auto"/>
                                <w:left w:val="none" w:sz="0" w:space="0" w:color="auto"/>
                                <w:bottom w:val="none" w:sz="0" w:space="0" w:color="auto"/>
                                <w:right w:val="none" w:sz="0" w:space="0" w:color="auto"/>
                              </w:divBdr>
                            </w:div>
                          </w:divsChild>
                        </w:div>
                        <w:div w:id="555556520">
                          <w:marLeft w:val="-225"/>
                          <w:marRight w:val="-225"/>
                          <w:marTop w:val="0"/>
                          <w:marBottom w:val="0"/>
                          <w:divBdr>
                            <w:top w:val="none" w:sz="0" w:space="0" w:color="auto"/>
                            <w:left w:val="none" w:sz="0" w:space="0" w:color="auto"/>
                            <w:bottom w:val="none" w:sz="0" w:space="0" w:color="auto"/>
                            <w:right w:val="none" w:sz="0" w:space="0" w:color="auto"/>
                          </w:divBdr>
                          <w:divsChild>
                            <w:div w:id="190413046">
                              <w:marLeft w:val="0"/>
                              <w:marRight w:val="0"/>
                              <w:marTop w:val="0"/>
                              <w:marBottom w:val="0"/>
                              <w:divBdr>
                                <w:top w:val="none" w:sz="0" w:space="0" w:color="auto"/>
                                <w:left w:val="none" w:sz="0" w:space="0" w:color="auto"/>
                                <w:bottom w:val="none" w:sz="0" w:space="0" w:color="auto"/>
                                <w:right w:val="none" w:sz="0" w:space="0" w:color="auto"/>
                              </w:divBdr>
                            </w:div>
                          </w:divsChild>
                        </w:div>
                        <w:div w:id="976572350">
                          <w:marLeft w:val="-225"/>
                          <w:marRight w:val="-225"/>
                          <w:marTop w:val="0"/>
                          <w:marBottom w:val="0"/>
                          <w:divBdr>
                            <w:top w:val="none" w:sz="0" w:space="0" w:color="auto"/>
                            <w:left w:val="none" w:sz="0" w:space="0" w:color="auto"/>
                            <w:bottom w:val="none" w:sz="0" w:space="0" w:color="auto"/>
                            <w:right w:val="none" w:sz="0" w:space="0" w:color="auto"/>
                          </w:divBdr>
                          <w:divsChild>
                            <w:div w:id="378284123">
                              <w:marLeft w:val="0"/>
                              <w:marRight w:val="0"/>
                              <w:marTop w:val="0"/>
                              <w:marBottom w:val="0"/>
                              <w:divBdr>
                                <w:top w:val="none" w:sz="0" w:space="0" w:color="auto"/>
                                <w:left w:val="none" w:sz="0" w:space="0" w:color="auto"/>
                                <w:bottom w:val="none" w:sz="0" w:space="0" w:color="auto"/>
                                <w:right w:val="none" w:sz="0" w:space="0" w:color="auto"/>
                              </w:divBdr>
                            </w:div>
                          </w:divsChild>
                        </w:div>
                        <w:div w:id="1116755311">
                          <w:marLeft w:val="-225"/>
                          <w:marRight w:val="-225"/>
                          <w:marTop w:val="0"/>
                          <w:marBottom w:val="0"/>
                          <w:divBdr>
                            <w:top w:val="none" w:sz="0" w:space="0" w:color="auto"/>
                            <w:left w:val="none" w:sz="0" w:space="0" w:color="auto"/>
                            <w:bottom w:val="none" w:sz="0" w:space="0" w:color="auto"/>
                            <w:right w:val="none" w:sz="0" w:space="0" w:color="auto"/>
                          </w:divBdr>
                          <w:divsChild>
                            <w:div w:id="1252814504">
                              <w:marLeft w:val="0"/>
                              <w:marRight w:val="0"/>
                              <w:marTop w:val="0"/>
                              <w:marBottom w:val="360"/>
                              <w:divBdr>
                                <w:top w:val="none" w:sz="0" w:space="0" w:color="auto"/>
                                <w:left w:val="none" w:sz="0" w:space="0" w:color="auto"/>
                                <w:bottom w:val="none" w:sz="0" w:space="0" w:color="auto"/>
                                <w:right w:val="none" w:sz="0" w:space="0" w:color="auto"/>
                              </w:divBdr>
                              <w:divsChild>
                                <w:div w:id="617033763">
                                  <w:marLeft w:val="0"/>
                                  <w:marRight w:val="0"/>
                                  <w:marTop w:val="0"/>
                                  <w:marBottom w:val="600"/>
                                  <w:divBdr>
                                    <w:top w:val="none" w:sz="0" w:space="0" w:color="auto"/>
                                    <w:left w:val="none" w:sz="0" w:space="0" w:color="auto"/>
                                    <w:bottom w:val="none" w:sz="0" w:space="0" w:color="auto"/>
                                    <w:right w:val="none" w:sz="0" w:space="0" w:color="auto"/>
                                  </w:divBdr>
                                  <w:divsChild>
                                    <w:div w:id="12705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058938">
                          <w:marLeft w:val="-225"/>
                          <w:marRight w:val="-225"/>
                          <w:marTop w:val="0"/>
                          <w:marBottom w:val="0"/>
                          <w:divBdr>
                            <w:top w:val="none" w:sz="0" w:space="0" w:color="auto"/>
                            <w:left w:val="none" w:sz="0" w:space="0" w:color="auto"/>
                            <w:bottom w:val="none" w:sz="0" w:space="0" w:color="auto"/>
                            <w:right w:val="none" w:sz="0" w:space="0" w:color="auto"/>
                          </w:divBdr>
                          <w:divsChild>
                            <w:div w:id="856500246">
                              <w:marLeft w:val="0"/>
                              <w:marRight w:val="0"/>
                              <w:marTop w:val="0"/>
                              <w:marBottom w:val="0"/>
                              <w:divBdr>
                                <w:top w:val="none" w:sz="0" w:space="0" w:color="auto"/>
                                <w:left w:val="none" w:sz="0" w:space="0" w:color="auto"/>
                                <w:bottom w:val="none" w:sz="0" w:space="0" w:color="auto"/>
                                <w:right w:val="none" w:sz="0" w:space="0" w:color="auto"/>
                              </w:divBdr>
                            </w:div>
                          </w:divsChild>
                        </w:div>
                        <w:div w:id="633606430">
                          <w:marLeft w:val="-225"/>
                          <w:marRight w:val="-225"/>
                          <w:marTop w:val="0"/>
                          <w:marBottom w:val="0"/>
                          <w:divBdr>
                            <w:top w:val="none" w:sz="0" w:space="0" w:color="auto"/>
                            <w:left w:val="none" w:sz="0" w:space="0" w:color="auto"/>
                            <w:bottom w:val="none" w:sz="0" w:space="0" w:color="auto"/>
                            <w:right w:val="none" w:sz="0" w:space="0" w:color="auto"/>
                          </w:divBdr>
                          <w:divsChild>
                            <w:div w:id="7148002">
                              <w:marLeft w:val="0"/>
                              <w:marRight w:val="0"/>
                              <w:marTop w:val="0"/>
                              <w:marBottom w:val="0"/>
                              <w:divBdr>
                                <w:top w:val="none" w:sz="0" w:space="0" w:color="auto"/>
                                <w:left w:val="none" w:sz="0" w:space="0" w:color="auto"/>
                                <w:bottom w:val="none" w:sz="0" w:space="0" w:color="auto"/>
                                <w:right w:val="none" w:sz="0" w:space="0" w:color="auto"/>
                              </w:divBdr>
                            </w:div>
                          </w:divsChild>
                        </w:div>
                        <w:div w:id="960842793">
                          <w:marLeft w:val="-225"/>
                          <w:marRight w:val="-225"/>
                          <w:marTop w:val="0"/>
                          <w:marBottom w:val="0"/>
                          <w:divBdr>
                            <w:top w:val="none" w:sz="0" w:space="0" w:color="auto"/>
                            <w:left w:val="none" w:sz="0" w:space="0" w:color="auto"/>
                            <w:bottom w:val="none" w:sz="0" w:space="0" w:color="auto"/>
                            <w:right w:val="none" w:sz="0" w:space="0" w:color="auto"/>
                          </w:divBdr>
                          <w:divsChild>
                            <w:div w:id="1240401828">
                              <w:marLeft w:val="0"/>
                              <w:marRight w:val="0"/>
                              <w:marTop w:val="0"/>
                              <w:marBottom w:val="0"/>
                              <w:divBdr>
                                <w:top w:val="none" w:sz="0" w:space="0" w:color="auto"/>
                                <w:left w:val="none" w:sz="0" w:space="0" w:color="auto"/>
                                <w:bottom w:val="none" w:sz="0" w:space="0" w:color="auto"/>
                                <w:right w:val="none" w:sz="0" w:space="0" w:color="auto"/>
                              </w:divBdr>
                            </w:div>
                          </w:divsChild>
                        </w:div>
                        <w:div w:id="1373077236">
                          <w:marLeft w:val="-225"/>
                          <w:marRight w:val="-225"/>
                          <w:marTop w:val="0"/>
                          <w:marBottom w:val="0"/>
                          <w:divBdr>
                            <w:top w:val="none" w:sz="0" w:space="0" w:color="auto"/>
                            <w:left w:val="none" w:sz="0" w:space="0" w:color="auto"/>
                            <w:bottom w:val="none" w:sz="0" w:space="0" w:color="auto"/>
                            <w:right w:val="none" w:sz="0" w:space="0" w:color="auto"/>
                          </w:divBdr>
                          <w:divsChild>
                            <w:div w:id="1293436511">
                              <w:marLeft w:val="0"/>
                              <w:marRight w:val="0"/>
                              <w:marTop w:val="0"/>
                              <w:marBottom w:val="0"/>
                              <w:divBdr>
                                <w:top w:val="none" w:sz="0" w:space="0" w:color="auto"/>
                                <w:left w:val="none" w:sz="0" w:space="0" w:color="auto"/>
                                <w:bottom w:val="none" w:sz="0" w:space="0" w:color="auto"/>
                                <w:right w:val="none" w:sz="0" w:space="0" w:color="auto"/>
                              </w:divBdr>
                            </w:div>
                          </w:divsChild>
                        </w:div>
                        <w:div w:id="1462769387">
                          <w:marLeft w:val="-225"/>
                          <w:marRight w:val="-225"/>
                          <w:marTop w:val="0"/>
                          <w:marBottom w:val="0"/>
                          <w:divBdr>
                            <w:top w:val="none" w:sz="0" w:space="0" w:color="auto"/>
                            <w:left w:val="none" w:sz="0" w:space="0" w:color="auto"/>
                            <w:bottom w:val="none" w:sz="0" w:space="0" w:color="auto"/>
                            <w:right w:val="none" w:sz="0" w:space="0" w:color="auto"/>
                          </w:divBdr>
                          <w:divsChild>
                            <w:div w:id="2138599180">
                              <w:marLeft w:val="0"/>
                              <w:marRight w:val="0"/>
                              <w:marTop w:val="0"/>
                              <w:marBottom w:val="0"/>
                              <w:divBdr>
                                <w:top w:val="none" w:sz="0" w:space="0" w:color="auto"/>
                                <w:left w:val="none" w:sz="0" w:space="0" w:color="auto"/>
                                <w:bottom w:val="none" w:sz="0" w:space="0" w:color="auto"/>
                                <w:right w:val="none" w:sz="0" w:space="0" w:color="auto"/>
                              </w:divBdr>
                            </w:div>
                          </w:divsChild>
                        </w:div>
                        <w:div w:id="550646">
                          <w:marLeft w:val="-225"/>
                          <w:marRight w:val="-225"/>
                          <w:marTop w:val="0"/>
                          <w:marBottom w:val="0"/>
                          <w:divBdr>
                            <w:top w:val="none" w:sz="0" w:space="0" w:color="auto"/>
                            <w:left w:val="none" w:sz="0" w:space="0" w:color="auto"/>
                            <w:bottom w:val="none" w:sz="0" w:space="0" w:color="auto"/>
                            <w:right w:val="none" w:sz="0" w:space="0" w:color="auto"/>
                          </w:divBdr>
                          <w:divsChild>
                            <w:div w:id="1073627350">
                              <w:marLeft w:val="0"/>
                              <w:marRight w:val="0"/>
                              <w:marTop w:val="0"/>
                              <w:marBottom w:val="0"/>
                              <w:divBdr>
                                <w:top w:val="none" w:sz="0" w:space="0" w:color="auto"/>
                                <w:left w:val="none" w:sz="0" w:space="0" w:color="auto"/>
                                <w:bottom w:val="none" w:sz="0" w:space="0" w:color="auto"/>
                                <w:right w:val="none" w:sz="0" w:space="0" w:color="auto"/>
                              </w:divBdr>
                            </w:div>
                          </w:divsChild>
                        </w:div>
                        <w:div w:id="1231191260">
                          <w:marLeft w:val="-225"/>
                          <w:marRight w:val="-225"/>
                          <w:marTop w:val="0"/>
                          <w:marBottom w:val="0"/>
                          <w:divBdr>
                            <w:top w:val="none" w:sz="0" w:space="0" w:color="auto"/>
                            <w:left w:val="none" w:sz="0" w:space="0" w:color="auto"/>
                            <w:bottom w:val="none" w:sz="0" w:space="0" w:color="auto"/>
                            <w:right w:val="none" w:sz="0" w:space="0" w:color="auto"/>
                          </w:divBdr>
                          <w:divsChild>
                            <w:div w:id="323896103">
                              <w:marLeft w:val="0"/>
                              <w:marRight w:val="0"/>
                              <w:marTop w:val="0"/>
                              <w:marBottom w:val="0"/>
                              <w:divBdr>
                                <w:top w:val="none" w:sz="0" w:space="0" w:color="auto"/>
                                <w:left w:val="none" w:sz="0" w:space="0" w:color="auto"/>
                                <w:bottom w:val="none" w:sz="0" w:space="0" w:color="auto"/>
                                <w:right w:val="none" w:sz="0" w:space="0" w:color="auto"/>
                              </w:divBdr>
                            </w:div>
                          </w:divsChild>
                        </w:div>
                        <w:div w:id="494299366">
                          <w:marLeft w:val="-225"/>
                          <w:marRight w:val="-225"/>
                          <w:marTop w:val="0"/>
                          <w:marBottom w:val="0"/>
                          <w:divBdr>
                            <w:top w:val="none" w:sz="0" w:space="0" w:color="auto"/>
                            <w:left w:val="none" w:sz="0" w:space="0" w:color="auto"/>
                            <w:bottom w:val="none" w:sz="0" w:space="0" w:color="auto"/>
                            <w:right w:val="none" w:sz="0" w:space="0" w:color="auto"/>
                          </w:divBdr>
                          <w:divsChild>
                            <w:div w:id="56271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cion.com/ciencia/medio-ambiente/cuales-lugares-de-la-gam-se-quedaron/CZ6EX6XD5BBYPBRFNJMIVIMX7U/stor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nacion.com/autores/lucia-astorga/" TargetMode="External"/><Relationship Id="rId4" Type="http://schemas.openxmlformats.org/officeDocument/2006/relationships/hyperlink" Target="https://www.nacion.com/ciencia/medio-ambiente/condominios-y-apartamentos-ganan-terreno-en-la-gam/QQHCRWI7N5EQHEDINNNKQ62PFQ/story/"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604</Words>
  <Characters>3326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Sandi</dc:creator>
  <cp:keywords/>
  <dc:description/>
  <cp:lastModifiedBy>Jorge Sandi</cp:lastModifiedBy>
  <cp:revision>2</cp:revision>
  <dcterms:created xsi:type="dcterms:W3CDTF">2018-11-20T15:44:00Z</dcterms:created>
  <dcterms:modified xsi:type="dcterms:W3CDTF">2018-11-20T15:44:00Z</dcterms:modified>
</cp:coreProperties>
</file>