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Pr="00651EFE" w:rsidRDefault="00651EFE">
      <w:pPr>
        <w:rPr>
          <w:lang w:val="en-US"/>
        </w:rPr>
      </w:pPr>
      <w:r w:rsidRPr="00651EFE">
        <w:rPr>
          <w:lang w:val="en-US"/>
        </w:rPr>
        <w:t xml:space="preserve">Enlace: </w:t>
      </w:r>
      <w:hyperlink r:id="rId4" w:history="1">
        <w:r w:rsidRPr="00651EFE">
          <w:rPr>
            <w:rStyle w:val="Hipervnculo"/>
            <w:lang w:val="en-US"/>
          </w:rPr>
          <w:t>https://www.nacion.com/el-pais/educacion/el-52-de-los-docentes-del-mep-reciben-salario/R7APKOH4LZE45EHUY5T5ICAVDU/story/</w:t>
        </w:r>
      </w:hyperlink>
    </w:p>
    <w:p w:rsidR="00651EFE" w:rsidRDefault="00651EFE" w:rsidP="00651EFE">
      <w:pPr>
        <w:spacing w:line="750" w:lineRule="atLeast"/>
        <w:rPr>
          <w:rFonts w:ascii="Arial" w:hAnsi="Arial" w:cs="Arial"/>
          <w:b/>
          <w:bCs/>
          <w:color w:val="000000"/>
          <w:spacing w:val="15"/>
          <w:sz w:val="60"/>
          <w:szCs w:val="60"/>
        </w:rPr>
      </w:pPr>
      <w:bookmarkStart w:id="0" w:name="_GoBack"/>
      <w:r>
        <w:rPr>
          <w:rFonts w:ascii="Arial" w:hAnsi="Arial" w:cs="Arial"/>
          <w:b/>
          <w:bCs/>
          <w:color w:val="000000"/>
          <w:spacing w:val="15"/>
          <w:sz w:val="60"/>
          <w:szCs w:val="60"/>
        </w:rPr>
        <w:t>El 52% de los docentes del MEP reciben salario mayor a ¢1 millón al mes</w:t>
      </w:r>
    </w:p>
    <w:bookmarkEnd w:id="0"/>
    <w:p w:rsidR="00651EFE" w:rsidRDefault="00651EFE" w:rsidP="00651EFE">
      <w:pPr>
        <w:pStyle w:val="subheadline"/>
        <w:spacing w:before="0" w:beforeAutospacing="0" w:after="450" w:afterAutospacing="0" w:line="315" w:lineRule="atLeast"/>
        <w:ind w:right="-225"/>
        <w:rPr>
          <w:rFonts w:ascii="Arial" w:hAnsi="Arial" w:cs="Arial"/>
          <w:color w:val="4A4A4A"/>
          <w:sz w:val="27"/>
          <w:szCs w:val="27"/>
        </w:rPr>
      </w:pPr>
      <w:r>
        <w:rPr>
          <w:rFonts w:ascii="Arial" w:hAnsi="Arial" w:cs="Arial"/>
          <w:color w:val="4A4A4A"/>
          <w:sz w:val="27"/>
          <w:szCs w:val="27"/>
        </w:rPr>
        <w:t xml:space="preserve">Ingreso ubicaría a un trabajador del MEP por encima de lo que reciben el 60% de los hogares de Costa </w:t>
      </w:r>
      <w:proofErr w:type="gramStart"/>
      <w:r>
        <w:rPr>
          <w:rFonts w:ascii="Arial" w:hAnsi="Arial" w:cs="Arial"/>
          <w:color w:val="4A4A4A"/>
          <w:sz w:val="27"/>
          <w:szCs w:val="27"/>
        </w:rPr>
        <w:t>Rica ;</w:t>
      </w:r>
      <w:proofErr w:type="gramEnd"/>
      <w:r>
        <w:rPr>
          <w:rFonts w:ascii="Arial" w:hAnsi="Arial" w:cs="Arial"/>
          <w:color w:val="4A4A4A"/>
          <w:sz w:val="27"/>
          <w:szCs w:val="27"/>
        </w:rPr>
        <w:t xml:space="preserve"> 10.000 funcionarios ganan más de ¢1,5 millones</w:t>
      </w:r>
    </w:p>
    <w:p w:rsidR="00651EFE" w:rsidRDefault="00651EFE" w:rsidP="00651EFE">
      <w:pPr>
        <w:rPr>
          <w:rFonts w:ascii="Times New Roman" w:hAnsi="Times New Roman" w:cs="Times New Roman"/>
          <w:sz w:val="24"/>
          <w:szCs w:val="24"/>
        </w:rPr>
      </w:pPr>
      <w:hyperlink r:id="rId5" w:history="1">
        <w:r>
          <w:rPr>
            <w:rStyle w:val="Hipervnculo"/>
            <w:rFonts w:ascii="Arial" w:hAnsi="Arial" w:cs="Arial"/>
            <w:b/>
            <w:bCs/>
            <w:sz w:val="21"/>
            <w:szCs w:val="21"/>
          </w:rPr>
          <w:t>Daniela Cerdas E.</w:t>
        </w:r>
      </w:hyperlink>
      <w:r>
        <w:rPr>
          <w:rStyle w:val="author"/>
          <w:rFonts w:ascii="Arial" w:hAnsi="Arial" w:cs="Arial"/>
          <w:color w:val="4A90E2"/>
          <w:sz w:val="21"/>
          <w:szCs w:val="21"/>
        </w:rPr>
        <w:t>. Hace 2 horas</w:t>
      </w:r>
    </w:p>
    <w:p w:rsidR="00651EFE" w:rsidRDefault="00651EFE" w:rsidP="00651EFE">
      <w:pPr>
        <w:rPr>
          <w:rFonts w:ascii="Arial" w:hAnsi="Arial" w:cs="Arial"/>
          <w:sz w:val="27"/>
          <w:szCs w:val="27"/>
        </w:rPr>
      </w:pPr>
      <w:r>
        <w:rPr>
          <w:rFonts w:ascii="Arial" w:hAnsi="Arial" w:cs="Arial"/>
          <w:noProof/>
          <w:sz w:val="27"/>
          <w:szCs w:val="27"/>
          <w:lang w:eastAsia="es-ES"/>
        </w:rPr>
        <w:drawing>
          <wp:inline distT="0" distB="0" distL="0" distR="0">
            <wp:extent cx="5210175" cy="3470058"/>
            <wp:effectExtent l="0" t="0" r="0" b="0"/>
            <wp:docPr id="2" name="Imagen 2" descr="Aparte del salario, los educadores reciben pagos por recargos e incentivos. (Imagen con fines ilustrativos). Foto: Rafael Pache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KN2GKJ6ZBEVBDREJJC7F4IKM" descr="Aparte del salario, los educadores reciben pagos por recargos e incentivos. (Imagen con fines ilustrativos). Foto: Rafael Pache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4586" cy="3486316"/>
                    </a:xfrm>
                    <a:prstGeom prst="rect">
                      <a:avLst/>
                    </a:prstGeom>
                    <a:noFill/>
                    <a:ln>
                      <a:noFill/>
                    </a:ln>
                  </pic:spPr>
                </pic:pic>
              </a:graphicData>
            </a:graphic>
          </wp:inline>
        </w:drawing>
      </w:r>
    </w:p>
    <w:p w:rsidR="00651EFE" w:rsidRDefault="00651EFE" w:rsidP="00651EFE">
      <w:pPr>
        <w:rPr>
          <w:rFonts w:ascii="Times New Roman" w:hAnsi="Times New Roman" w:cs="Times New Roman"/>
          <w:sz w:val="24"/>
          <w:szCs w:val="24"/>
        </w:rPr>
      </w:pPr>
      <w:r>
        <w:rPr>
          <w:rStyle w:val="credit"/>
          <w:rFonts w:ascii="Arial" w:hAnsi="Arial" w:cs="Arial"/>
          <w:color w:val="4A4A4A"/>
          <w:sz w:val="21"/>
          <w:szCs w:val="21"/>
        </w:rPr>
        <w:t>Aparte del salario, los educadores reciben pagos por recargos e incentivos. (Imagen con fines ilustrativos). Foto: Rafael Pacheco</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“Nuestro salario no es la gran cosa tampoco”, “Apenas nos alcanza”.</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Frases como estas son comunes entre los grupos de docentes del MEP en redes sociales. Sin embargo, el sueldo de los educadores está muy por encima de lo que gana el promedio de la población en Costa Rica.</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El 52% (45.593) de los docentes que laboran para el Ministerio de Educación Pública (MEP) ganan más de ¢1 millón por mes, según datos suministrados por esa institución.</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Incluso hay 28 funcionarios que ganan más que el jerarca de Educación, Edgar Mora, quien devenga ¢2,5 millones al mes, de acuerdo con un análisis de la planilla de la institución.</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Si solo se tomara en cuenta el salario de un educador, es decir una sola persona y no todos los integrantes de su hogar, ese ingreso lo ubicaría por encima de lo que recibe el 60% de los hogares de Costa Rica.</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Así se desprende del estudio de ingresos de los hogares que elabora el Instituto Nacional de Estadística y Censos (INEC), para el cual divide a los hogares en cinco categorías (la quinta es la más alta), de acuerdo con la totalidad de los ingresos de todos sus miembros.</w:t>
      </w:r>
    </w:p>
    <w:p w:rsidR="00651EFE" w:rsidRDefault="00651EFE" w:rsidP="00651EFE">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651EFE" w:rsidRDefault="00651EFE" w:rsidP="00651EFE">
      <w:pPr>
        <w:pStyle w:val="NormalWeb"/>
        <w:spacing w:before="0" w:beforeAutospacing="0" w:after="150" w:afterAutospacing="0" w:line="315" w:lineRule="atLeast"/>
        <w:jc w:val="center"/>
        <w:rPr>
          <w:rFonts w:ascii="Arial" w:hAnsi="Arial" w:cs="Arial"/>
          <w:b/>
          <w:bCs/>
          <w:color w:val="4A90E2"/>
          <w:sz w:val="27"/>
          <w:szCs w:val="27"/>
        </w:rPr>
      </w:pPr>
      <w:hyperlink r:id="rId7" w:history="1">
        <w:r>
          <w:rPr>
            <w:rStyle w:val="Hipervnculo"/>
            <w:rFonts w:ascii="Arial" w:hAnsi="Arial" w:cs="Arial"/>
            <w:b/>
            <w:bCs/>
            <w:color w:val="4A90E2"/>
            <w:sz w:val="27"/>
            <w:szCs w:val="27"/>
          </w:rPr>
          <w:t>MEP paga caros incentivos y recargos que no contribuyen a educación</w:t>
        </w:r>
      </w:hyperlink>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De esta forma, por su remuneración, más de la mitad de los educadores que trabajan para el MEP pertenecen al cuarto quintil, que, según el INEC, registra entradas económicas por hogar de ¢1,1 millones.</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primer quintil ubica a los hogares con ingresos de ¢203.000 y el quinto, de ¢2,6 millones.</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Si se divide por grado de calificación de la ocupación (para comparar categorías similares), entre los trabajadores de ocupación calificada alta </w:t>
      </w:r>
      <w:proofErr w:type="gramStart"/>
      <w:r>
        <w:rPr>
          <w:rFonts w:ascii="Arial" w:hAnsi="Arial" w:cs="Arial"/>
          <w:color w:val="000000"/>
          <w:sz w:val="27"/>
          <w:szCs w:val="27"/>
        </w:rPr>
        <w:t>( que</w:t>
      </w:r>
      <w:proofErr w:type="gramEnd"/>
      <w:r>
        <w:rPr>
          <w:rFonts w:ascii="Arial" w:hAnsi="Arial" w:cs="Arial"/>
          <w:color w:val="000000"/>
          <w:sz w:val="27"/>
          <w:szCs w:val="27"/>
        </w:rPr>
        <w:t xml:space="preserve"> incluyen directores, gerentes, profesionales, científicos y técnicos), el salario de los docentes del MEP se ubican muy por encima del salario de ocupación alta del sector privado que es de ¢894.717.</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Lo anterior, de acuerdo con la información de la Encuesta Continua de Empleo del Instituto Nacional de Estadística y Censos (INEC), al segundo trimestre de este año.</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Entre el grupo de docentes que gana más de ¢1 millón, hay 35.470 que devengan más de ¢1 millón y menos de ¢1,5 millones. Ellos representan el 41,07% de la planilla del MEP.</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Ministerio reporta que hay 9.754 educadores (11,29%) que ganan entre ¢1,5 millones y menos de ¢2 millones.</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También hay 359 (0,42% de la planilla) que reciben una remuneración de entre ¢2 millones y ¢3 millones. A diez se les paga más de ¢3 millones (0,01%).</w:t>
      </w:r>
    </w:p>
    <w:p w:rsidR="00651EFE" w:rsidRDefault="00651EFE" w:rsidP="00651EFE">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651EFE" w:rsidRDefault="00651EFE" w:rsidP="00651EFE">
      <w:pPr>
        <w:pStyle w:val="NormalWeb"/>
        <w:spacing w:before="0" w:beforeAutospacing="0" w:after="150" w:afterAutospacing="0" w:line="315" w:lineRule="atLeast"/>
        <w:jc w:val="center"/>
        <w:rPr>
          <w:rFonts w:ascii="Arial" w:hAnsi="Arial" w:cs="Arial"/>
          <w:b/>
          <w:bCs/>
          <w:color w:val="4A90E2"/>
          <w:sz w:val="27"/>
          <w:szCs w:val="27"/>
        </w:rPr>
      </w:pPr>
      <w:hyperlink r:id="rId8" w:history="1">
        <w:r>
          <w:rPr>
            <w:rStyle w:val="Hipervnculo"/>
            <w:rFonts w:ascii="Arial" w:hAnsi="Arial" w:cs="Arial"/>
            <w:b/>
            <w:bCs/>
            <w:color w:val="4A90E2"/>
            <w:sz w:val="27"/>
            <w:szCs w:val="27"/>
          </w:rPr>
          <w:t>MEP pagará en el 2018 más pluses que salarios</w:t>
        </w:r>
      </w:hyperlink>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Hay 13.137 funcionarios (el 15,31%) que ganan más de 750.000 y menos de ¢1 millón; otros 9.284 (el 10,75%) que reciben más de ¢500.000 y menos de ¢750.000 , así como, 18.350 trabajadores que devengan menos de ¢500.000 (representan el 21,25% de la planilla).</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promedio, los 86.364 funcionarios del MEP ganan un salario promedio de ¢980.000.</w:t>
      </w:r>
    </w:p>
    <w:p w:rsidR="00651EFE" w:rsidRDefault="00651EFE" w:rsidP="00651EFE">
      <w:pPr>
        <w:rPr>
          <w:rFonts w:ascii="Arial" w:hAnsi="Arial" w:cs="Arial"/>
          <w:sz w:val="27"/>
          <w:szCs w:val="27"/>
        </w:rPr>
      </w:pPr>
      <w:r>
        <w:rPr>
          <w:rFonts w:ascii="Arial" w:hAnsi="Arial" w:cs="Arial"/>
          <w:noProof/>
          <w:sz w:val="27"/>
          <w:szCs w:val="27"/>
          <w:lang w:eastAsia="es-ES"/>
        </w:rPr>
        <w:lastRenderedPageBreak/>
        <w:drawing>
          <wp:inline distT="0" distB="0" distL="0" distR="0">
            <wp:extent cx="5245138" cy="3390900"/>
            <wp:effectExtent l="0" t="0" r="0" b="0"/>
            <wp:docPr id="1" name="Imagen 1" descr="Salario de doc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TGEE7MHJBTNHA4UH2SPBATPQ" descr="Salario de docen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1536" cy="3401501"/>
                    </a:xfrm>
                    <a:prstGeom prst="rect">
                      <a:avLst/>
                    </a:prstGeom>
                    <a:noFill/>
                    <a:ln>
                      <a:noFill/>
                    </a:ln>
                  </pic:spPr>
                </pic:pic>
              </a:graphicData>
            </a:graphic>
          </wp:inline>
        </w:drawing>
      </w:r>
    </w:p>
    <w:p w:rsidR="00651EFE" w:rsidRDefault="00651EFE" w:rsidP="00651EFE">
      <w:pPr>
        <w:rPr>
          <w:rFonts w:ascii="Times New Roman" w:hAnsi="Times New Roman" w:cs="Times New Roman"/>
          <w:sz w:val="24"/>
          <w:szCs w:val="24"/>
        </w:rPr>
      </w:pPr>
      <w:r>
        <w:rPr>
          <w:rStyle w:val="credit"/>
          <w:rFonts w:ascii="Arial" w:hAnsi="Arial" w:cs="Arial"/>
          <w:color w:val="4A4A4A"/>
          <w:sz w:val="21"/>
          <w:szCs w:val="21"/>
        </w:rPr>
        <w:t>Salario de docentes</w:t>
      </w:r>
    </w:p>
    <w:p w:rsidR="00651EFE" w:rsidRDefault="00651EFE" w:rsidP="00651EFE">
      <w:pPr>
        <w:rPr>
          <w:rFonts w:ascii="Arial" w:hAnsi="Arial" w:cs="Arial"/>
          <w:sz w:val="27"/>
          <w:szCs w:val="27"/>
        </w:rPr>
      </w:pPr>
      <w:r>
        <w:rPr>
          <w:rStyle w:val="element1"/>
          <w:rFonts w:ascii="Arial" w:hAnsi="Arial" w:cs="Arial"/>
          <w:color w:val="4A4A4A"/>
          <w:sz w:val="36"/>
          <w:szCs w:val="36"/>
        </w:rPr>
        <w:t>Estudio</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La constante queja de los docentes de que su carga laboral “no está debidamente remunerada” fue motivo de un estudio del MEP, dado a conocer a mediados del 2015.</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Se trata de la investigación </w:t>
      </w:r>
      <w:r>
        <w:rPr>
          <w:rFonts w:ascii="Arial" w:hAnsi="Arial" w:cs="Arial"/>
          <w:i/>
          <w:iCs/>
          <w:color w:val="000000"/>
          <w:sz w:val="27"/>
          <w:szCs w:val="27"/>
        </w:rPr>
        <w:t>Salarios y cargas laborales de los docentes en Costa Rica: estudio de casos en centros educativos de primaria y secundaria, </w:t>
      </w:r>
      <w:r>
        <w:rPr>
          <w:rFonts w:ascii="Arial" w:hAnsi="Arial" w:cs="Arial"/>
          <w:color w:val="000000"/>
          <w:sz w:val="27"/>
          <w:szCs w:val="27"/>
        </w:rPr>
        <w:t>de la Dirección de Planificación Institucional del Ministerio.</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ese entonces, ante la pregunta “¿El salario de los docentes en Costa Rica cubre adecuadamente las necesidades básicas?”, el 70% de los educadores de primaria consultados se mostró en desacuerdo o total desacuerdo, en secundaria fue el 44% que estuvo en desacuerdo.</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 pesar de esta percepción, el estudio concluyó que los salarios estaban "acorde a las funciones, al tiempo laboral contratado, al grado académico y al grupo profesional al que pertenecen los docentes del estudio”.</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lastRenderedPageBreak/>
        <w:t>El mismo análisis indica que los gastos de los docentes consultados son “relativamente altos” y abarcan un porcentaje alto del salario. El principal rubro de gastos de los docentes del estudio, se realiza en la compra del “diario” mensual, seguido por los préstamos personales o deudas en general.</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junio, </w:t>
      </w:r>
      <w:r>
        <w:rPr>
          <w:rFonts w:ascii="Arial" w:hAnsi="Arial" w:cs="Arial"/>
          <w:i/>
          <w:iCs/>
          <w:color w:val="000000"/>
          <w:sz w:val="27"/>
          <w:szCs w:val="27"/>
        </w:rPr>
        <w:t>La Nación</w:t>
      </w:r>
      <w:r>
        <w:rPr>
          <w:rFonts w:ascii="Arial" w:hAnsi="Arial" w:cs="Arial"/>
          <w:color w:val="000000"/>
          <w:sz w:val="27"/>
          <w:szCs w:val="27"/>
        </w:rPr>
        <w:t> publicó que el 60% (50.593) de los funcionarios del MEP tienen comprometido el 50% de su salario o más, según datos de la institución. Entre ese 60% hay 18.701 docentes que reciben menos del 20% del sueldo, o sea, los compromisos le consumen un 80% de sus ingresos.</w:t>
      </w:r>
    </w:p>
    <w:p w:rsidR="00651EFE" w:rsidRDefault="00651EFE" w:rsidP="00651EFE">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651EFE" w:rsidRDefault="00651EFE" w:rsidP="00651EFE">
      <w:pPr>
        <w:pStyle w:val="NormalWeb"/>
        <w:spacing w:before="0" w:beforeAutospacing="0" w:after="150" w:afterAutospacing="0" w:line="315" w:lineRule="atLeast"/>
        <w:jc w:val="center"/>
        <w:rPr>
          <w:rFonts w:ascii="Arial" w:hAnsi="Arial" w:cs="Arial"/>
          <w:b/>
          <w:bCs/>
          <w:color w:val="4A90E2"/>
          <w:sz w:val="27"/>
          <w:szCs w:val="27"/>
        </w:rPr>
      </w:pPr>
      <w:hyperlink r:id="rId10" w:history="1">
        <w:r>
          <w:rPr>
            <w:rStyle w:val="Hipervnculo"/>
            <w:rFonts w:ascii="Arial" w:hAnsi="Arial" w:cs="Arial"/>
            <w:b/>
            <w:bCs/>
            <w:color w:val="4A90E2"/>
            <w:sz w:val="27"/>
            <w:szCs w:val="27"/>
          </w:rPr>
          <w:t>Maestros del MEP ahogados en deudas: la mayoría recibe la mitad de su salario o menos</w:t>
        </w:r>
      </w:hyperlink>
    </w:p>
    <w:p w:rsidR="00651EFE" w:rsidRDefault="00651EFE" w:rsidP="00651EFE">
      <w:pPr>
        <w:rPr>
          <w:rFonts w:ascii="Arial" w:hAnsi="Arial" w:cs="Arial"/>
          <w:sz w:val="27"/>
          <w:szCs w:val="27"/>
        </w:rPr>
      </w:pPr>
      <w:r>
        <w:rPr>
          <w:rStyle w:val="element1"/>
          <w:rFonts w:ascii="Arial" w:hAnsi="Arial" w:cs="Arial"/>
          <w:color w:val="4A4A4A"/>
          <w:sz w:val="36"/>
          <w:szCs w:val="36"/>
        </w:rPr>
        <w:t>Recargos</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Los educadores “redondean” su salario con el pago adicional que reciben por recargos cuando hacen tareas como dirigir la huerta de la escuela, atender a alumnos con problemas de aprendizaje, labores en biblioteca o coordinar las cooperativas estudiantiles. En total son 50 tipos de recargos, la mayoría otorga un 50% adicional del salario base.</w:t>
      </w:r>
    </w:p>
    <w:p w:rsidR="00651EFE" w:rsidRDefault="00651EFE" w:rsidP="00651EFE">
      <w:pPr>
        <w:pStyle w:val="Ttulo3"/>
        <w:spacing w:before="300" w:beforeAutospacing="0" w:after="150" w:afterAutospacing="0" w:line="240" w:lineRule="atLeast"/>
        <w:jc w:val="center"/>
        <w:rPr>
          <w:rFonts w:ascii="Arial" w:hAnsi="Arial" w:cs="Arial"/>
          <w:color w:val="4A4A4A"/>
          <w:spacing w:val="-7"/>
          <w:sz w:val="21"/>
          <w:szCs w:val="21"/>
        </w:rPr>
      </w:pPr>
      <w:r>
        <w:rPr>
          <w:rFonts w:ascii="Arial" w:hAnsi="Arial" w:cs="Arial"/>
          <w:color w:val="4A4A4A"/>
          <w:spacing w:val="-7"/>
          <w:sz w:val="21"/>
          <w:szCs w:val="21"/>
        </w:rPr>
        <w:t>LEA TAMBIÉN</w:t>
      </w:r>
    </w:p>
    <w:p w:rsidR="00651EFE" w:rsidRDefault="00651EFE" w:rsidP="00651EFE">
      <w:pPr>
        <w:pStyle w:val="NormalWeb"/>
        <w:spacing w:before="0" w:beforeAutospacing="0" w:after="150" w:afterAutospacing="0" w:line="315" w:lineRule="atLeast"/>
        <w:jc w:val="center"/>
        <w:rPr>
          <w:rFonts w:ascii="Arial" w:hAnsi="Arial" w:cs="Arial"/>
          <w:b/>
          <w:bCs/>
          <w:color w:val="4A90E2"/>
          <w:sz w:val="27"/>
          <w:szCs w:val="27"/>
        </w:rPr>
      </w:pPr>
      <w:hyperlink r:id="rId11" w:history="1">
        <w:r>
          <w:rPr>
            <w:rStyle w:val="Hipervnculo"/>
            <w:rFonts w:ascii="Arial" w:hAnsi="Arial" w:cs="Arial"/>
            <w:b/>
            <w:bCs/>
            <w:color w:val="4A90E2"/>
            <w:sz w:val="27"/>
            <w:szCs w:val="27"/>
          </w:rPr>
          <w:t>OCDE señala 'poca mejora' en estudiantes ticos pese a alta inversión</w:t>
        </w:r>
      </w:hyperlink>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A esto se suman los incentivos o pluses por laborar en zonas pobres, así como la calidad de su desempeño (anualidad).</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Este año, el MEP el Ministerio pagó más en ese tipo de pluses que en salarios. En recargos e incentivos, el MEP destinó este año ¢659.549 millones (un 42% del total de la partida de remuneraciones); mientras que por salario base desembolsó ¢655.730 millones (un 41,7%).</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 xml:space="preserve">No obstante, según el VI Informe del Estado de la Educación, dado a conocer el año pasado, los incentivos y recargos que el MEP paga a </w:t>
      </w:r>
      <w:r>
        <w:rPr>
          <w:rFonts w:ascii="Arial" w:hAnsi="Arial" w:cs="Arial"/>
          <w:color w:val="000000"/>
          <w:sz w:val="27"/>
          <w:szCs w:val="27"/>
        </w:rPr>
        <w:lastRenderedPageBreak/>
        <w:t>sus docentes no se traducen en mejoras de la calidad de la educación y están “desligados de cualquier medición de desempeño”.</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En agosto del año pasado, la Organización para el Cooperación y el Desarrollo Económicos (OCDE) recomendó una revisión de la manera en que se utilizan los recursos en educación pues considera que la alta inversión del Estado en el sector no se refleja en una alta calidad. Así lo hizo ver en el informe “Revisión de Políticas Nacionales de Educación en Costa Rica”.</w:t>
      </w:r>
    </w:p>
    <w:p w:rsid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ministro de Educación, considera que una parte de la inversión que hacemos en docencia “cae en saco roto” y no corresponde a la expectativa de calidad que la justamente tiene la sociedad.</w:t>
      </w:r>
    </w:p>
    <w:p w:rsidR="00651EFE" w:rsidRPr="00651EFE" w:rsidRDefault="00651EFE" w:rsidP="00651EFE">
      <w:pPr>
        <w:pStyle w:val="element"/>
        <w:spacing w:before="0" w:beforeAutospacing="0" w:after="450" w:afterAutospacing="0" w:line="360" w:lineRule="atLeast"/>
        <w:rPr>
          <w:rFonts w:ascii="Arial" w:hAnsi="Arial" w:cs="Arial"/>
          <w:color w:val="000000"/>
          <w:sz w:val="27"/>
          <w:szCs w:val="27"/>
        </w:rPr>
      </w:pPr>
      <w:r>
        <w:rPr>
          <w:rFonts w:ascii="Arial" w:hAnsi="Arial" w:cs="Arial"/>
          <w:color w:val="000000"/>
          <w:sz w:val="27"/>
          <w:szCs w:val="27"/>
        </w:rPr>
        <w:t>“El condicionante más claro e intenso de la calidad educativa es la calidad de los docentes. Este es un axioma universal y en un sistema público vasto como el nuestro, todos los docentes deberían ser excelentes sin excepción. Sin embargo y a pesar de que indudablemente tenemos miles de buenos profesores y maestras, también es cierto que hay otro tanto que no debería de estar en nuestras aulas. Muchas veces le pagamos a quien no deberíamos”, manifestó el jerarca.</w:t>
      </w:r>
    </w:p>
    <w:p w:rsidR="00651EFE" w:rsidRPr="00651EFE" w:rsidRDefault="00651EFE"/>
    <w:sectPr w:rsidR="00651EFE" w:rsidRPr="00651EF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FE"/>
    <w:rsid w:val="002F1ABE"/>
    <w:rsid w:val="00651EFE"/>
    <w:rsid w:val="00744CFE"/>
    <w:rsid w:val="00A967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ED3BBC-3356-4C00-9F94-12013132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651EF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51EFE"/>
    <w:rPr>
      <w:color w:val="0563C1" w:themeColor="hyperlink"/>
      <w:u w:val="single"/>
    </w:rPr>
  </w:style>
  <w:style w:type="character" w:customStyle="1" w:styleId="Ttulo3Car">
    <w:name w:val="Título 3 Car"/>
    <w:basedOn w:val="Fuentedeprrafopredeter"/>
    <w:link w:val="Ttulo3"/>
    <w:uiPriority w:val="9"/>
    <w:rsid w:val="00651EFE"/>
    <w:rPr>
      <w:rFonts w:ascii="Times New Roman" w:eastAsia="Times New Roman" w:hAnsi="Times New Roman" w:cs="Times New Roman"/>
      <w:b/>
      <w:bCs/>
      <w:sz w:val="27"/>
      <w:szCs w:val="27"/>
      <w:lang w:eastAsia="es-ES"/>
    </w:rPr>
  </w:style>
  <w:style w:type="paragraph" w:customStyle="1" w:styleId="subheadline">
    <w:name w:val="subheadline"/>
    <w:basedOn w:val="Normal"/>
    <w:rsid w:val="00651E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
    <w:name w:val="author"/>
    <w:basedOn w:val="Fuentedeprrafopredeter"/>
    <w:rsid w:val="00651EFE"/>
  </w:style>
  <w:style w:type="character" w:customStyle="1" w:styleId="credit">
    <w:name w:val="credit"/>
    <w:basedOn w:val="Fuentedeprrafopredeter"/>
    <w:rsid w:val="00651EFE"/>
  </w:style>
  <w:style w:type="paragraph" w:customStyle="1" w:styleId="element">
    <w:name w:val="element"/>
    <w:basedOn w:val="Normal"/>
    <w:rsid w:val="00651EF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651EF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lement1">
    <w:name w:val="element1"/>
    <w:basedOn w:val="Fuentedeprrafopredeter"/>
    <w:rsid w:val="00651E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180786">
      <w:bodyDiv w:val="1"/>
      <w:marLeft w:val="0"/>
      <w:marRight w:val="0"/>
      <w:marTop w:val="0"/>
      <w:marBottom w:val="0"/>
      <w:divBdr>
        <w:top w:val="none" w:sz="0" w:space="0" w:color="auto"/>
        <w:left w:val="none" w:sz="0" w:space="0" w:color="auto"/>
        <w:bottom w:val="none" w:sz="0" w:space="0" w:color="auto"/>
        <w:right w:val="none" w:sz="0" w:space="0" w:color="auto"/>
      </w:divBdr>
      <w:divsChild>
        <w:div w:id="1701929522">
          <w:marLeft w:val="0"/>
          <w:marRight w:val="0"/>
          <w:marTop w:val="0"/>
          <w:marBottom w:val="0"/>
          <w:divBdr>
            <w:top w:val="none" w:sz="0" w:space="0" w:color="auto"/>
            <w:left w:val="none" w:sz="0" w:space="0" w:color="auto"/>
            <w:bottom w:val="none" w:sz="0" w:space="0" w:color="auto"/>
            <w:right w:val="none" w:sz="0" w:space="0" w:color="auto"/>
          </w:divBdr>
          <w:divsChild>
            <w:div w:id="106629477">
              <w:marLeft w:val="0"/>
              <w:marRight w:val="0"/>
              <w:marTop w:val="0"/>
              <w:marBottom w:val="0"/>
              <w:divBdr>
                <w:top w:val="none" w:sz="0" w:space="0" w:color="auto"/>
                <w:left w:val="none" w:sz="0" w:space="0" w:color="auto"/>
                <w:bottom w:val="none" w:sz="0" w:space="0" w:color="auto"/>
                <w:right w:val="none" w:sz="0" w:space="0" w:color="auto"/>
              </w:divBdr>
              <w:divsChild>
                <w:div w:id="1615792983">
                  <w:marLeft w:val="-225"/>
                  <w:marRight w:val="-225"/>
                  <w:marTop w:val="0"/>
                  <w:marBottom w:val="0"/>
                  <w:divBdr>
                    <w:top w:val="none" w:sz="0" w:space="0" w:color="auto"/>
                    <w:left w:val="none" w:sz="0" w:space="0" w:color="auto"/>
                    <w:bottom w:val="none" w:sz="0" w:space="0" w:color="auto"/>
                    <w:right w:val="none" w:sz="0" w:space="0" w:color="auto"/>
                  </w:divBdr>
                  <w:divsChild>
                    <w:div w:id="1856307246">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 w:id="1692611929">
          <w:marLeft w:val="0"/>
          <w:marRight w:val="0"/>
          <w:marTop w:val="0"/>
          <w:marBottom w:val="0"/>
          <w:divBdr>
            <w:top w:val="none" w:sz="0" w:space="0" w:color="auto"/>
            <w:left w:val="none" w:sz="0" w:space="0" w:color="auto"/>
            <w:bottom w:val="none" w:sz="0" w:space="0" w:color="auto"/>
            <w:right w:val="none" w:sz="0" w:space="0" w:color="auto"/>
          </w:divBdr>
          <w:divsChild>
            <w:div w:id="1869755044">
              <w:marLeft w:val="0"/>
              <w:marRight w:val="0"/>
              <w:marTop w:val="0"/>
              <w:marBottom w:val="0"/>
              <w:divBdr>
                <w:top w:val="none" w:sz="0" w:space="0" w:color="auto"/>
                <w:left w:val="none" w:sz="0" w:space="0" w:color="auto"/>
                <w:bottom w:val="none" w:sz="0" w:space="0" w:color="auto"/>
                <w:right w:val="none" w:sz="0" w:space="0" w:color="auto"/>
              </w:divBdr>
              <w:divsChild>
                <w:div w:id="844249648">
                  <w:marLeft w:val="0"/>
                  <w:marRight w:val="0"/>
                  <w:marTop w:val="0"/>
                  <w:marBottom w:val="300"/>
                  <w:divBdr>
                    <w:top w:val="none" w:sz="0" w:space="0" w:color="auto"/>
                    <w:left w:val="none" w:sz="0" w:space="0" w:color="auto"/>
                    <w:bottom w:val="none" w:sz="0" w:space="0" w:color="auto"/>
                    <w:right w:val="none" w:sz="0" w:space="0" w:color="auto"/>
                  </w:divBdr>
                  <w:divsChild>
                    <w:div w:id="1331639701">
                      <w:marLeft w:val="0"/>
                      <w:marRight w:val="0"/>
                      <w:marTop w:val="0"/>
                      <w:marBottom w:val="0"/>
                      <w:divBdr>
                        <w:top w:val="none" w:sz="0" w:space="0" w:color="auto"/>
                        <w:left w:val="none" w:sz="0" w:space="0" w:color="auto"/>
                        <w:bottom w:val="none" w:sz="0" w:space="0" w:color="auto"/>
                        <w:right w:val="none" w:sz="0" w:space="0" w:color="auto"/>
                      </w:divBdr>
                      <w:divsChild>
                        <w:div w:id="1110468347">
                          <w:marLeft w:val="-225"/>
                          <w:marRight w:val="-225"/>
                          <w:marTop w:val="0"/>
                          <w:marBottom w:val="0"/>
                          <w:divBdr>
                            <w:top w:val="none" w:sz="0" w:space="0" w:color="auto"/>
                            <w:left w:val="none" w:sz="0" w:space="0" w:color="auto"/>
                            <w:bottom w:val="none" w:sz="0" w:space="0" w:color="auto"/>
                            <w:right w:val="none" w:sz="0" w:space="0" w:color="auto"/>
                          </w:divBdr>
                          <w:divsChild>
                            <w:div w:id="1681001641">
                              <w:marLeft w:val="0"/>
                              <w:marRight w:val="0"/>
                              <w:marTop w:val="0"/>
                              <w:marBottom w:val="75"/>
                              <w:divBdr>
                                <w:top w:val="none" w:sz="0" w:space="0" w:color="auto"/>
                                <w:left w:val="none" w:sz="0" w:space="0" w:color="auto"/>
                                <w:bottom w:val="none" w:sz="0" w:space="0" w:color="auto"/>
                                <w:right w:val="none" w:sz="0" w:space="0" w:color="auto"/>
                              </w:divBdr>
                              <w:divsChild>
                                <w:div w:id="12098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0865">
                          <w:marLeft w:val="-225"/>
                          <w:marRight w:val="-225"/>
                          <w:marTop w:val="0"/>
                          <w:marBottom w:val="0"/>
                          <w:divBdr>
                            <w:top w:val="none" w:sz="0" w:space="0" w:color="auto"/>
                            <w:left w:val="none" w:sz="0" w:space="0" w:color="auto"/>
                            <w:bottom w:val="none" w:sz="0" w:space="0" w:color="auto"/>
                            <w:right w:val="none" w:sz="0" w:space="0" w:color="auto"/>
                          </w:divBdr>
                          <w:divsChild>
                            <w:div w:id="1278103841">
                              <w:marLeft w:val="0"/>
                              <w:marRight w:val="0"/>
                              <w:marTop w:val="0"/>
                              <w:marBottom w:val="0"/>
                              <w:divBdr>
                                <w:top w:val="none" w:sz="0" w:space="0" w:color="auto"/>
                                <w:left w:val="none" w:sz="0" w:space="0" w:color="auto"/>
                                <w:bottom w:val="none" w:sz="0" w:space="0" w:color="auto"/>
                                <w:right w:val="none" w:sz="0" w:space="0" w:color="auto"/>
                              </w:divBdr>
                            </w:div>
                          </w:divsChild>
                        </w:div>
                        <w:div w:id="1105030662">
                          <w:marLeft w:val="-225"/>
                          <w:marRight w:val="-225"/>
                          <w:marTop w:val="0"/>
                          <w:marBottom w:val="0"/>
                          <w:divBdr>
                            <w:top w:val="none" w:sz="0" w:space="0" w:color="auto"/>
                            <w:left w:val="none" w:sz="0" w:space="0" w:color="auto"/>
                            <w:bottom w:val="none" w:sz="0" w:space="0" w:color="auto"/>
                            <w:right w:val="none" w:sz="0" w:space="0" w:color="auto"/>
                          </w:divBdr>
                          <w:divsChild>
                            <w:div w:id="1582517742">
                              <w:marLeft w:val="0"/>
                              <w:marRight w:val="0"/>
                              <w:marTop w:val="0"/>
                              <w:marBottom w:val="0"/>
                              <w:divBdr>
                                <w:top w:val="none" w:sz="0" w:space="0" w:color="auto"/>
                                <w:left w:val="none" w:sz="0" w:space="0" w:color="auto"/>
                                <w:bottom w:val="none" w:sz="0" w:space="0" w:color="auto"/>
                                <w:right w:val="none" w:sz="0" w:space="0" w:color="auto"/>
                              </w:divBdr>
                            </w:div>
                          </w:divsChild>
                        </w:div>
                        <w:div w:id="403643812">
                          <w:marLeft w:val="-225"/>
                          <w:marRight w:val="-225"/>
                          <w:marTop w:val="0"/>
                          <w:marBottom w:val="0"/>
                          <w:divBdr>
                            <w:top w:val="none" w:sz="0" w:space="0" w:color="auto"/>
                            <w:left w:val="none" w:sz="0" w:space="0" w:color="auto"/>
                            <w:bottom w:val="none" w:sz="0" w:space="0" w:color="auto"/>
                            <w:right w:val="none" w:sz="0" w:space="0" w:color="auto"/>
                          </w:divBdr>
                          <w:divsChild>
                            <w:div w:id="1931543419">
                              <w:marLeft w:val="0"/>
                              <w:marRight w:val="0"/>
                              <w:marTop w:val="0"/>
                              <w:marBottom w:val="0"/>
                              <w:divBdr>
                                <w:top w:val="none" w:sz="0" w:space="0" w:color="auto"/>
                                <w:left w:val="none" w:sz="0" w:space="0" w:color="auto"/>
                                <w:bottom w:val="none" w:sz="0" w:space="0" w:color="auto"/>
                                <w:right w:val="none" w:sz="0" w:space="0" w:color="auto"/>
                              </w:divBdr>
                            </w:div>
                          </w:divsChild>
                        </w:div>
                        <w:div w:id="378208278">
                          <w:marLeft w:val="-225"/>
                          <w:marRight w:val="-225"/>
                          <w:marTop w:val="0"/>
                          <w:marBottom w:val="0"/>
                          <w:divBdr>
                            <w:top w:val="none" w:sz="0" w:space="0" w:color="auto"/>
                            <w:left w:val="none" w:sz="0" w:space="0" w:color="auto"/>
                            <w:bottom w:val="none" w:sz="0" w:space="0" w:color="auto"/>
                            <w:right w:val="none" w:sz="0" w:space="0" w:color="auto"/>
                          </w:divBdr>
                          <w:divsChild>
                            <w:div w:id="641926612">
                              <w:marLeft w:val="0"/>
                              <w:marRight w:val="0"/>
                              <w:marTop w:val="0"/>
                              <w:marBottom w:val="0"/>
                              <w:divBdr>
                                <w:top w:val="none" w:sz="0" w:space="0" w:color="auto"/>
                                <w:left w:val="none" w:sz="0" w:space="0" w:color="auto"/>
                                <w:bottom w:val="none" w:sz="0" w:space="0" w:color="auto"/>
                                <w:right w:val="none" w:sz="0" w:space="0" w:color="auto"/>
                              </w:divBdr>
                            </w:div>
                          </w:divsChild>
                        </w:div>
                        <w:div w:id="2138335156">
                          <w:marLeft w:val="-225"/>
                          <w:marRight w:val="-225"/>
                          <w:marTop w:val="0"/>
                          <w:marBottom w:val="0"/>
                          <w:divBdr>
                            <w:top w:val="none" w:sz="0" w:space="0" w:color="auto"/>
                            <w:left w:val="none" w:sz="0" w:space="0" w:color="auto"/>
                            <w:bottom w:val="none" w:sz="0" w:space="0" w:color="auto"/>
                            <w:right w:val="none" w:sz="0" w:space="0" w:color="auto"/>
                          </w:divBdr>
                          <w:divsChild>
                            <w:div w:id="1591623798">
                              <w:marLeft w:val="0"/>
                              <w:marRight w:val="0"/>
                              <w:marTop w:val="0"/>
                              <w:marBottom w:val="0"/>
                              <w:divBdr>
                                <w:top w:val="none" w:sz="0" w:space="0" w:color="auto"/>
                                <w:left w:val="none" w:sz="0" w:space="0" w:color="auto"/>
                                <w:bottom w:val="none" w:sz="0" w:space="0" w:color="auto"/>
                                <w:right w:val="none" w:sz="0" w:space="0" w:color="auto"/>
                              </w:divBdr>
                            </w:div>
                          </w:divsChild>
                        </w:div>
                        <w:div w:id="486016708">
                          <w:marLeft w:val="-225"/>
                          <w:marRight w:val="-225"/>
                          <w:marTop w:val="0"/>
                          <w:marBottom w:val="0"/>
                          <w:divBdr>
                            <w:top w:val="none" w:sz="0" w:space="0" w:color="auto"/>
                            <w:left w:val="none" w:sz="0" w:space="0" w:color="auto"/>
                            <w:bottom w:val="none" w:sz="0" w:space="0" w:color="auto"/>
                            <w:right w:val="none" w:sz="0" w:space="0" w:color="auto"/>
                          </w:divBdr>
                          <w:divsChild>
                            <w:div w:id="368338618">
                              <w:marLeft w:val="0"/>
                              <w:marRight w:val="0"/>
                              <w:marTop w:val="0"/>
                              <w:marBottom w:val="0"/>
                              <w:divBdr>
                                <w:top w:val="none" w:sz="0" w:space="0" w:color="auto"/>
                                <w:left w:val="none" w:sz="0" w:space="0" w:color="auto"/>
                                <w:bottom w:val="none" w:sz="0" w:space="0" w:color="auto"/>
                                <w:right w:val="none" w:sz="0" w:space="0" w:color="auto"/>
                              </w:divBdr>
                            </w:div>
                          </w:divsChild>
                        </w:div>
                        <w:div w:id="1020010486">
                          <w:marLeft w:val="-225"/>
                          <w:marRight w:val="-225"/>
                          <w:marTop w:val="0"/>
                          <w:marBottom w:val="0"/>
                          <w:divBdr>
                            <w:top w:val="none" w:sz="0" w:space="0" w:color="auto"/>
                            <w:left w:val="none" w:sz="0" w:space="0" w:color="auto"/>
                            <w:bottom w:val="none" w:sz="0" w:space="0" w:color="auto"/>
                            <w:right w:val="none" w:sz="0" w:space="0" w:color="auto"/>
                          </w:divBdr>
                          <w:divsChild>
                            <w:div w:id="1382049337">
                              <w:marLeft w:val="0"/>
                              <w:marRight w:val="0"/>
                              <w:marTop w:val="0"/>
                              <w:marBottom w:val="360"/>
                              <w:divBdr>
                                <w:top w:val="none" w:sz="0" w:space="0" w:color="auto"/>
                                <w:left w:val="none" w:sz="0" w:space="0" w:color="auto"/>
                                <w:bottom w:val="none" w:sz="0" w:space="0" w:color="auto"/>
                                <w:right w:val="none" w:sz="0" w:space="0" w:color="auto"/>
                              </w:divBdr>
                              <w:divsChild>
                                <w:div w:id="524634603">
                                  <w:marLeft w:val="0"/>
                                  <w:marRight w:val="0"/>
                                  <w:marTop w:val="0"/>
                                  <w:marBottom w:val="600"/>
                                  <w:divBdr>
                                    <w:top w:val="none" w:sz="0" w:space="0" w:color="auto"/>
                                    <w:left w:val="none" w:sz="0" w:space="0" w:color="auto"/>
                                    <w:bottom w:val="none" w:sz="0" w:space="0" w:color="auto"/>
                                    <w:right w:val="none" w:sz="0" w:space="0" w:color="auto"/>
                                  </w:divBdr>
                                  <w:divsChild>
                                    <w:div w:id="46971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74157">
                          <w:marLeft w:val="-225"/>
                          <w:marRight w:val="-225"/>
                          <w:marTop w:val="0"/>
                          <w:marBottom w:val="0"/>
                          <w:divBdr>
                            <w:top w:val="none" w:sz="0" w:space="0" w:color="auto"/>
                            <w:left w:val="none" w:sz="0" w:space="0" w:color="auto"/>
                            <w:bottom w:val="none" w:sz="0" w:space="0" w:color="auto"/>
                            <w:right w:val="none" w:sz="0" w:space="0" w:color="auto"/>
                          </w:divBdr>
                          <w:divsChild>
                            <w:div w:id="780614729">
                              <w:marLeft w:val="0"/>
                              <w:marRight w:val="0"/>
                              <w:marTop w:val="0"/>
                              <w:marBottom w:val="0"/>
                              <w:divBdr>
                                <w:top w:val="none" w:sz="0" w:space="0" w:color="auto"/>
                                <w:left w:val="none" w:sz="0" w:space="0" w:color="auto"/>
                                <w:bottom w:val="none" w:sz="0" w:space="0" w:color="auto"/>
                                <w:right w:val="none" w:sz="0" w:space="0" w:color="auto"/>
                              </w:divBdr>
                            </w:div>
                          </w:divsChild>
                        </w:div>
                        <w:div w:id="799961625">
                          <w:marLeft w:val="-225"/>
                          <w:marRight w:val="-225"/>
                          <w:marTop w:val="0"/>
                          <w:marBottom w:val="0"/>
                          <w:divBdr>
                            <w:top w:val="none" w:sz="0" w:space="0" w:color="auto"/>
                            <w:left w:val="none" w:sz="0" w:space="0" w:color="auto"/>
                            <w:bottom w:val="none" w:sz="0" w:space="0" w:color="auto"/>
                            <w:right w:val="none" w:sz="0" w:space="0" w:color="auto"/>
                          </w:divBdr>
                          <w:divsChild>
                            <w:div w:id="14818837">
                              <w:marLeft w:val="0"/>
                              <w:marRight w:val="0"/>
                              <w:marTop w:val="0"/>
                              <w:marBottom w:val="0"/>
                              <w:divBdr>
                                <w:top w:val="none" w:sz="0" w:space="0" w:color="auto"/>
                                <w:left w:val="none" w:sz="0" w:space="0" w:color="auto"/>
                                <w:bottom w:val="none" w:sz="0" w:space="0" w:color="auto"/>
                                <w:right w:val="none" w:sz="0" w:space="0" w:color="auto"/>
                              </w:divBdr>
                            </w:div>
                          </w:divsChild>
                        </w:div>
                        <w:div w:id="1439325884">
                          <w:marLeft w:val="-225"/>
                          <w:marRight w:val="-225"/>
                          <w:marTop w:val="0"/>
                          <w:marBottom w:val="0"/>
                          <w:divBdr>
                            <w:top w:val="none" w:sz="0" w:space="0" w:color="auto"/>
                            <w:left w:val="none" w:sz="0" w:space="0" w:color="auto"/>
                            <w:bottom w:val="none" w:sz="0" w:space="0" w:color="auto"/>
                            <w:right w:val="none" w:sz="0" w:space="0" w:color="auto"/>
                          </w:divBdr>
                          <w:divsChild>
                            <w:div w:id="1476023237">
                              <w:marLeft w:val="0"/>
                              <w:marRight w:val="0"/>
                              <w:marTop w:val="0"/>
                              <w:marBottom w:val="0"/>
                              <w:divBdr>
                                <w:top w:val="none" w:sz="0" w:space="0" w:color="auto"/>
                                <w:left w:val="none" w:sz="0" w:space="0" w:color="auto"/>
                                <w:bottom w:val="none" w:sz="0" w:space="0" w:color="auto"/>
                                <w:right w:val="none" w:sz="0" w:space="0" w:color="auto"/>
                              </w:divBdr>
                            </w:div>
                          </w:divsChild>
                        </w:div>
                        <w:div w:id="1523516596">
                          <w:marLeft w:val="-225"/>
                          <w:marRight w:val="-225"/>
                          <w:marTop w:val="0"/>
                          <w:marBottom w:val="0"/>
                          <w:divBdr>
                            <w:top w:val="none" w:sz="0" w:space="0" w:color="auto"/>
                            <w:left w:val="none" w:sz="0" w:space="0" w:color="auto"/>
                            <w:bottom w:val="none" w:sz="0" w:space="0" w:color="auto"/>
                            <w:right w:val="none" w:sz="0" w:space="0" w:color="auto"/>
                          </w:divBdr>
                          <w:divsChild>
                            <w:div w:id="2000886017">
                              <w:marLeft w:val="0"/>
                              <w:marRight w:val="0"/>
                              <w:marTop w:val="0"/>
                              <w:marBottom w:val="0"/>
                              <w:divBdr>
                                <w:top w:val="none" w:sz="0" w:space="0" w:color="auto"/>
                                <w:left w:val="none" w:sz="0" w:space="0" w:color="auto"/>
                                <w:bottom w:val="none" w:sz="0" w:space="0" w:color="auto"/>
                                <w:right w:val="none" w:sz="0" w:space="0" w:color="auto"/>
                              </w:divBdr>
                            </w:div>
                          </w:divsChild>
                        </w:div>
                        <w:div w:id="223370051">
                          <w:marLeft w:val="-225"/>
                          <w:marRight w:val="-225"/>
                          <w:marTop w:val="0"/>
                          <w:marBottom w:val="0"/>
                          <w:divBdr>
                            <w:top w:val="none" w:sz="0" w:space="0" w:color="auto"/>
                            <w:left w:val="none" w:sz="0" w:space="0" w:color="auto"/>
                            <w:bottom w:val="none" w:sz="0" w:space="0" w:color="auto"/>
                            <w:right w:val="none" w:sz="0" w:space="0" w:color="auto"/>
                          </w:divBdr>
                          <w:divsChild>
                            <w:div w:id="43917548">
                              <w:marLeft w:val="0"/>
                              <w:marRight w:val="0"/>
                              <w:marTop w:val="0"/>
                              <w:marBottom w:val="0"/>
                              <w:divBdr>
                                <w:top w:val="none" w:sz="0" w:space="0" w:color="auto"/>
                                <w:left w:val="none" w:sz="0" w:space="0" w:color="auto"/>
                                <w:bottom w:val="none" w:sz="0" w:space="0" w:color="auto"/>
                                <w:right w:val="none" w:sz="0" w:space="0" w:color="auto"/>
                              </w:divBdr>
                            </w:div>
                          </w:divsChild>
                        </w:div>
                        <w:div w:id="1702439509">
                          <w:marLeft w:val="-225"/>
                          <w:marRight w:val="-225"/>
                          <w:marTop w:val="0"/>
                          <w:marBottom w:val="0"/>
                          <w:divBdr>
                            <w:top w:val="none" w:sz="0" w:space="0" w:color="auto"/>
                            <w:left w:val="none" w:sz="0" w:space="0" w:color="auto"/>
                            <w:bottom w:val="none" w:sz="0" w:space="0" w:color="auto"/>
                            <w:right w:val="none" w:sz="0" w:space="0" w:color="auto"/>
                          </w:divBdr>
                          <w:divsChild>
                            <w:div w:id="1036199264">
                              <w:marLeft w:val="0"/>
                              <w:marRight w:val="0"/>
                              <w:marTop w:val="0"/>
                              <w:marBottom w:val="0"/>
                              <w:divBdr>
                                <w:top w:val="none" w:sz="0" w:space="0" w:color="auto"/>
                                <w:left w:val="none" w:sz="0" w:space="0" w:color="auto"/>
                                <w:bottom w:val="none" w:sz="0" w:space="0" w:color="auto"/>
                                <w:right w:val="none" w:sz="0" w:space="0" w:color="auto"/>
                              </w:divBdr>
                            </w:div>
                          </w:divsChild>
                        </w:div>
                        <w:div w:id="733508634">
                          <w:marLeft w:val="-225"/>
                          <w:marRight w:val="-225"/>
                          <w:marTop w:val="0"/>
                          <w:marBottom w:val="0"/>
                          <w:divBdr>
                            <w:top w:val="none" w:sz="0" w:space="0" w:color="auto"/>
                            <w:left w:val="none" w:sz="0" w:space="0" w:color="auto"/>
                            <w:bottom w:val="none" w:sz="0" w:space="0" w:color="auto"/>
                            <w:right w:val="none" w:sz="0" w:space="0" w:color="auto"/>
                          </w:divBdr>
                          <w:divsChild>
                            <w:div w:id="552431408">
                              <w:marLeft w:val="0"/>
                              <w:marRight w:val="0"/>
                              <w:marTop w:val="0"/>
                              <w:marBottom w:val="0"/>
                              <w:divBdr>
                                <w:top w:val="none" w:sz="0" w:space="0" w:color="auto"/>
                                <w:left w:val="none" w:sz="0" w:space="0" w:color="auto"/>
                                <w:bottom w:val="none" w:sz="0" w:space="0" w:color="auto"/>
                                <w:right w:val="none" w:sz="0" w:space="0" w:color="auto"/>
                              </w:divBdr>
                            </w:div>
                          </w:divsChild>
                        </w:div>
                        <w:div w:id="1140266875">
                          <w:marLeft w:val="-225"/>
                          <w:marRight w:val="-225"/>
                          <w:marTop w:val="0"/>
                          <w:marBottom w:val="0"/>
                          <w:divBdr>
                            <w:top w:val="none" w:sz="0" w:space="0" w:color="auto"/>
                            <w:left w:val="none" w:sz="0" w:space="0" w:color="auto"/>
                            <w:bottom w:val="none" w:sz="0" w:space="0" w:color="auto"/>
                            <w:right w:val="none" w:sz="0" w:space="0" w:color="auto"/>
                          </w:divBdr>
                          <w:divsChild>
                            <w:div w:id="1347096472">
                              <w:marLeft w:val="0"/>
                              <w:marRight w:val="0"/>
                              <w:marTop w:val="0"/>
                              <w:marBottom w:val="360"/>
                              <w:divBdr>
                                <w:top w:val="none" w:sz="0" w:space="0" w:color="auto"/>
                                <w:left w:val="none" w:sz="0" w:space="0" w:color="auto"/>
                                <w:bottom w:val="none" w:sz="0" w:space="0" w:color="auto"/>
                                <w:right w:val="none" w:sz="0" w:space="0" w:color="auto"/>
                              </w:divBdr>
                              <w:divsChild>
                                <w:div w:id="764035752">
                                  <w:marLeft w:val="0"/>
                                  <w:marRight w:val="0"/>
                                  <w:marTop w:val="0"/>
                                  <w:marBottom w:val="600"/>
                                  <w:divBdr>
                                    <w:top w:val="none" w:sz="0" w:space="0" w:color="auto"/>
                                    <w:left w:val="none" w:sz="0" w:space="0" w:color="auto"/>
                                    <w:bottom w:val="none" w:sz="0" w:space="0" w:color="auto"/>
                                    <w:right w:val="none" w:sz="0" w:space="0" w:color="auto"/>
                                  </w:divBdr>
                                  <w:divsChild>
                                    <w:div w:id="10193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596530">
                          <w:marLeft w:val="-225"/>
                          <w:marRight w:val="-225"/>
                          <w:marTop w:val="0"/>
                          <w:marBottom w:val="0"/>
                          <w:divBdr>
                            <w:top w:val="none" w:sz="0" w:space="0" w:color="auto"/>
                            <w:left w:val="none" w:sz="0" w:space="0" w:color="auto"/>
                            <w:bottom w:val="none" w:sz="0" w:space="0" w:color="auto"/>
                            <w:right w:val="none" w:sz="0" w:space="0" w:color="auto"/>
                          </w:divBdr>
                          <w:divsChild>
                            <w:div w:id="1613397062">
                              <w:marLeft w:val="0"/>
                              <w:marRight w:val="0"/>
                              <w:marTop w:val="0"/>
                              <w:marBottom w:val="0"/>
                              <w:divBdr>
                                <w:top w:val="none" w:sz="0" w:space="0" w:color="auto"/>
                                <w:left w:val="none" w:sz="0" w:space="0" w:color="auto"/>
                                <w:bottom w:val="none" w:sz="0" w:space="0" w:color="auto"/>
                                <w:right w:val="none" w:sz="0" w:space="0" w:color="auto"/>
                              </w:divBdr>
                            </w:div>
                          </w:divsChild>
                        </w:div>
                        <w:div w:id="2098136640">
                          <w:marLeft w:val="-225"/>
                          <w:marRight w:val="-225"/>
                          <w:marTop w:val="0"/>
                          <w:marBottom w:val="0"/>
                          <w:divBdr>
                            <w:top w:val="none" w:sz="0" w:space="0" w:color="auto"/>
                            <w:left w:val="none" w:sz="0" w:space="0" w:color="auto"/>
                            <w:bottom w:val="none" w:sz="0" w:space="0" w:color="auto"/>
                            <w:right w:val="none" w:sz="0" w:space="0" w:color="auto"/>
                          </w:divBdr>
                          <w:divsChild>
                            <w:div w:id="615990837">
                              <w:marLeft w:val="0"/>
                              <w:marRight w:val="0"/>
                              <w:marTop w:val="0"/>
                              <w:marBottom w:val="0"/>
                              <w:divBdr>
                                <w:top w:val="none" w:sz="0" w:space="0" w:color="auto"/>
                                <w:left w:val="none" w:sz="0" w:space="0" w:color="auto"/>
                                <w:bottom w:val="none" w:sz="0" w:space="0" w:color="auto"/>
                                <w:right w:val="none" w:sz="0" w:space="0" w:color="auto"/>
                              </w:divBdr>
                            </w:div>
                          </w:divsChild>
                        </w:div>
                        <w:div w:id="305938478">
                          <w:marLeft w:val="-225"/>
                          <w:marRight w:val="-225"/>
                          <w:marTop w:val="0"/>
                          <w:marBottom w:val="0"/>
                          <w:divBdr>
                            <w:top w:val="none" w:sz="0" w:space="0" w:color="auto"/>
                            <w:left w:val="none" w:sz="0" w:space="0" w:color="auto"/>
                            <w:bottom w:val="none" w:sz="0" w:space="0" w:color="auto"/>
                            <w:right w:val="none" w:sz="0" w:space="0" w:color="auto"/>
                          </w:divBdr>
                          <w:divsChild>
                            <w:div w:id="690645150">
                              <w:marLeft w:val="0"/>
                              <w:marRight w:val="0"/>
                              <w:marTop w:val="0"/>
                              <w:marBottom w:val="75"/>
                              <w:divBdr>
                                <w:top w:val="none" w:sz="0" w:space="0" w:color="auto"/>
                                <w:left w:val="none" w:sz="0" w:space="0" w:color="auto"/>
                                <w:bottom w:val="none" w:sz="0" w:space="0" w:color="auto"/>
                                <w:right w:val="none" w:sz="0" w:space="0" w:color="auto"/>
                              </w:divBdr>
                              <w:divsChild>
                                <w:div w:id="107381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1725">
                          <w:marLeft w:val="-225"/>
                          <w:marRight w:val="-225"/>
                          <w:marTop w:val="0"/>
                          <w:marBottom w:val="0"/>
                          <w:divBdr>
                            <w:top w:val="none" w:sz="0" w:space="0" w:color="auto"/>
                            <w:left w:val="none" w:sz="0" w:space="0" w:color="auto"/>
                            <w:bottom w:val="none" w:sz="0" w:space="0" w:color="auto"/>
                            <w:right w:val="none" w:sz="0" w:space="0" w:color="auto"/>
                          </w:divBdr>
                          <w:divsChild>
                            <w:div w:id="1078288580">
                              <w:marLeft w:val="0"/>
                              <w:marRight w:val="0"/>
                              <w:marTop w:val="0"/>
                              <w:marBottom w:val="0"/>
                              <w:divBdr>
                                <w:top w:val="none" w:sz="0" w:space="0" w:color="auto"/>
                                <w:left w:val="none" w:sz="0" w:space="0" w:color="auto"/>
                                <w:bottom w:val="none" w:sz="0" w:space="0" w:color="auto"/>
                                <w:right w:val="none" w:sz="0" w:space="0" w:color="auto"/>
                              </w:divBdr>
                            </w:div>
                          </w:divsChild>
                        </w:div>
                        <w:div w:id="1169833234">
                          <w:marLeft w:val="-225"/>
                          <w:marRight w:val="-225"/>
                          <w:marTop w:val="0"/>
                          <w:marBottom w:val="0"/>
                          <w:divBdr>
                            <w:top w:val="none" w:sz="0" w:space="0" w:color="auto"/>
                            <w:left w:val="none" w:sz="0" w:space="0" w:color="auto"/>
                            <w:bottom w:val="none" w:sz="0" w:space="0" w:color="auto"/>
                            <w:right w:val="none" w:sz="0" w:space="0" w:color="auto"/>
                          </w:divBdr>
                          <w:divsChild>
                            <w:div w:id="723528085">
                              <w:marLeft w:val="0"/>
                              <w:marRight w:val="0"/>
                              <w:marTop w:val="0"/>
                              <w:marBottom w:val="0"/>
                              <w:divBdr>
                                <w:top w:val="none" w:sz="0" w:space="0" w:color="auto"/>
                                <w:left w:val="none" w:sz="0" w:space="0" w:color="auto"/>
                                <w:bottom w:val="none" w:sz="0" w:space="0" w:color="auto"/>
                                <w:right w:val="none" w:sz="0" w:space="0" w:color="auto"/>
                              </w:divBdr>
                            </w:div>
                          </w:divsChild>
                        </w:div>
                        <w:div w:id="1649241985">
                          <w:marLeft w:val="-225"/>
                          <w:marRight w:val="-225"/>
                          <w:marTop w:val="0"/>
                          <w:marBottom w:val="0"/>
                          <w:divBdr>
                            <w:top w:val="none" w:sz="0" w:space="0" w:color="auto"/>
                            <w:left w:val="none" w:sz="0" w:space="0" w:color="auto"/>
                            <w:bottom w:val="none" w:sz="0" w:space="0" w:color="auto"/>
                            <w:right w:val="none" w:sz="0" w:space="0" w:color="auto"/>
                          </w:divBdr>
                          <w:divsChild>
                            <w:div w:id="2035108258">
                              <w:marLeft w:val="0"/>
                              <w:marRight w:val="0"/>
                              <w:marTop w:val="0"/>
                              <w:marBottom w:val="0"/>
                              <w:divBdr>
                                <w:top w:val="none" w:sz="0" w:space="0" w:color="auto"/>
                                <w:left w:val="none" w:sz="0" w:space="0" w:color="auto"/>
                                <w:bottom w:val="none" w:sz="0" w:space="0" w:color="auto"/>
                                <w:right w:val="none" w:sz="0" w:space="0" w:color="auto"/>
                              </w:divBdr>
                            </w:div>
                          </w:divsChild>
                        </w:div>
                        <w:div w:id="1631738984">
                          <w:marLeft w:val="-225"/>
                          <w:marRight w:val="-225"/>
                          <w:marTop w:val="0"/>
                          <w:marBottom w:val="0"/>
                          <w:divBdr>
                            <w:top w:val="none" w:sz="0" w:space="0" w:color="auto"/>
                            <w:left w:val="none" w:sz="0" w:space="0" w:color="auto"/>
                            <w:bottom w:val="none" w:sz="0" w:space="0" w:color="auto"/>
                            <w:right w:val="none" w:sz="0" w:space="0" w:color="auto"/>
                          </w:divBdr>
                          <w:divsChild>
                            <w:div w:id="1543588705">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225"/>
                          <w:marRight w:val="-225"/>
                          <w:marTop w:val="0"/>
                          <w:marBottom w:val="0"/>
                          <w:divBdr>
                            <w:top w:val="none" w:sz="0" w:space="0" w:color="auto"/>
                            <w:left w:val="none" w:sz="0" w:space="0" w:color="auto"/>
                            <w:bottom w:val="none" w:sz="0" w:space="0" w:color="auto"/>
                            <w:right w:val="none" w:sz="0" w:space="0" w:color="auto"/>
                          </w:divBdr>
                          <w:divsChild>
                            <w:div w:id="836770714">
                              <w:marLeft w:val="0"/>
                              <w:marRight w:val="0"/>
                              <w:marTop w:val="0"/>
                              <w:marBottom w:val="0"/>
                              <w:divBdr>
                                <w:top w:val="none" w:sz="0" w:space="0" w:color="auto"/>
                                <w:left w:val="none" w:sz="0" w:space="0" w:color="auto"/>
                                <w:bottom w:val="none" w:sz="0" w:space="0" w:color="auto"/>
                                <w:right w:val="none" w:sz="0" w:space="0" w:color="auto"/>
                              </w:divBdr>
                            </w:div>
                          </w:divsChild>
                        </w:div>
                        <w:div w:id="650865200">
                          <w:marLeft w:val="-225"/>
                          <w:marRight w:val="-225"/>
                          <w:marTop w:val="0"/>
                          <w:marBottom w:val="0"/>
                          <w:divBdr>
                            <w:top w:val="none" w:sz="0" w:space="0" w:color="auto"/>
                            <w:left w:val="none" w:sz="0" w:space="0" w:color="auto"/>
                            <w:bottom w:val="none" w:sz="0" w:space="0" w:color="auto"/>
                            <w:right w:val="none" w:sz="0" w:space="0" w:color="auto"/>
                          </w:divBdr>
                          <w:divsChild>
                            <w:div w:id="2100716325">
                              <w:marLeft w:val="0"/>
                              <w:marRight w:val="0"/>
                              <w:marTop w:val="0"/>
                              <w:marBottom w:val="0"/>
                              <w:divBdr>
                                <w:top w:val="none" w:sz="0" w:space="0" w:color="auto"/>
                                <w:left w:val="none" w:sz="0" w:space="0" w:color="auto"/>
                                <w:bottom w:val="none" w:sz="0" w:space="0" w:color="auto"/>
                                <w:right w:val="none" w:sz="0" w:space="0" w:color="auto"/>
                              </w:divBdr>
                            </w:div>
                          </w:divsChild>
                        </w:div>
                        <w:div w:id="269975267">
                          <w:marLeft w:val="-225"/>
                          <w:marRight w:val="-225"/>
                          <w:marTop w:val="0"/>
                          <w:marBottom w:val="0"/>
                          <w:divBdr>
                            <w:top w:val="none" w:sz="0" w:space="0" w:color="auto"/>
                            <w:left w:val="none" w:sz="0" w:space="0" w:color="auto"/>
                            <w:bottom w:val="none" w:sz="0" w:space="0" w:color="auto"/>
                            <w:right w:val="none" w:sz="0" w:space="0" w:color="auto"/>
                          </w:divBdr>
                          <w:divsChild>
                            <w:div w:id="1674335051">
                              <w:marLeft w:val="0"/>
                              <w:marRight w:val="0"/>
                              <w:marTop w:val="0"/>
                              <w:marBottom w:val="0"/>
                              <w:divBdr>
                                <w:top w:val="none" w:sz="0" w:space="0" w:color="auto"/>
                                <w:left w:val="none" w:sz="0" w:space="0" w:color="auto"/>
                                <w:bottom w:val="none" w:sz="0" w:space="0" w:color="auto"/>
                                <w:right w:val="none" w:sz="0" w:space="0" w:color="auto"/>
                              </w:divBdr>
                            </w:div>
                          </w:divsChild>
                        </w:div>
                        <w:div w:id="1113134749">
                          <w:marLeft w:val="-225"/>
                          <w:marRight w:val="-225"/>
                          <w:marTop w:val="0"/>
                          <w:marBottom w:val="0"/>
                          <w:divBdr>
                            <w:top w:val="none" w:sz="0" w:space="0" w:color="auto"/>
                            <w:left w:val="none" w:sz="0" w:space="0" w:color="auto"/>
                            <w:bottom w:val="none" w:sz="0" w:space="0" w:color="auto"/>
                            <w:right w:val="none" w:sz="0" w:space="0" w:color="auto"/>
                          </w:divBdr>
                          <w:divsChild>
                            <w:div w:id="2100829401">
                              <w:marLeft w:val="0"/>
                              <w:marRight w:val="0"/>
                              <w:marTop w:val="0"/>
                              <w:marBottom w:val="360"/>
                              <w:divBdr>
                                <w:top w:val="none" w:sz="0" w:space="0" w:color="auto"/>
                                <w:left w:val="none" w:sz="0" w:space="0" w:color="auto"/>
                                <w:bottom w:val="none" w:sz="0" w:space="0" w:color="auto"/>
                                <w:right w:val="none" w:sz="0" w:space="0" w:color="auto"/>
                              </w:divBdr>
                              <w:divsChild>
                                <w:div w:id="1214271907">
                                  <w:marLeft w:val="0"/>
                                  <w:marRight w:val="0"/>
                                  <w:marTop w:val="0"/>
                                  <w:marBottom w:val="600"/>
                                  <w:divBdr>
                                    <w:top w:val="none" w:sz="0" w:space="0" w:color="auto"/>
                                    <w:left w:val="none" w:sz="0" w:space="0" w:color="auto"/>
                                    <w:bottom w:val="none" w:sz="0" w:space="0" w:color="auto"/>
                                    <w:right w:val="none" w:sz="0" w:space="0" w:color="auto"/>
                                  </w:divBdr>
                                  <w:divsChild>
                                    <w:div w:id="173697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94164">
                          <w:marLeft w:val="-225"/>
                          <w:marRight w:val="-225"/>
                          <w:marTop w:val="0"/>
                          <w:marBottom w:val="0"/>
                          <w:divBdr>
                            <w:top w:val="none" w:sz="0" w:space="0" w:color="auto"/>
                            <w:left w:val="none" w:sz="0" w:space="0" w:color="auto"/>
                            <w:bottom w:val="none" w:sz="0" w:space="0" w:color="auto"/>
                            <w:right w:val="none" w:sz="0" w:space="0" w:color="auto"/>
                          </w:divBdr>
                          <w:divsChild>
                            <w:div w:id="584921338">
                              <w:marLeft w:val="0"/>
                              <w:marRight w:val="0"/>
                              <w:marTop w:val="0"/>
                              <w:marBottom w:val="0"/>
                              <w:divBdr>
                                <w:top w:val="none" w:sz="0" w:space="0" w:color="auto"/>
                                <w:left w:val="none" w:sz="0" w:space="0" w:color="auto"/>
                                <w:bottom w:val="none" w:sz="0" w:space="0" w:color="auto"/>
                                <w:right w:val="none" w:sz="0" w:space="0" w:color="auto"/>
                              </w:divBdr>
                            </w:div>
                          </w:divsChild>
                        </w:div>
                        <w:div w:id="1458142995">
                          <w:marLeft w:val="-225"/>
                          <w:marRight w:val="-225"/>
                          <w:marTop w:val="0"/>
                          <w:marBottom w:val="0"/>
                          <w:divBdr>
                            <w:top w:val="none" w:sz="0" w:space="0" w:color="auto"/>
                            <w:left w:val="none" w:sz="0" w:space="0" w:color="auto"/>
                            <w:bottom w:val="none" w:sz="0" w:space="0" w:color="auto"/>
                            <w:right w:val="none" w:sz="0" w:space="0" w:color="auto"/>
                          </w:divBdr>
                          <w:divsChild>
                            <w:div w:id="1082993706">
                              <w:marLeft w:val="0"/>
                              <w:marRight w:val="0"/>
                              <w:marTop w:val="0"/>
                              <w:marBottom w:val="0"/>
                              <w:divBdr>
                                <w:top w:val="none" w:sz="0" w:space="0" w:color="auto"/>
                                <w:left w:val="none" w:sz="0" w:space="0" w:color="auto"/>
                                <w:bottom w:val="none" w:sz="0" w:space="0" w:color="auto"/>
                                <w:right w:val="none" w:sz="0" w:space="0" w:color="auto"/>
                              </w:divBdr>
                            </w:div>
                          </w:divsChild>
                        </w:div>
                        <w:div w:id="1497839210">
                          <w:marLeft w:val="-225"/>
                          <w:marRight w:val="-225"/>
                          <w:marTop w:val="0"/>
                          <w:marBottom w:val="0"/>
                          <w:divBdr>
                            <w:top w:val="none" w:sz="0" w:space="0" w:color="auto"/>
                            <w:left w:val="none" w:sz="0" w:space="0" w:color="auto"/>
                            <w:bottom w:val="none" w:sz="0" w:space="0" w:color="auto"/>
                            <w:right w:val="none" w:sz="0" w:space="0" w:color="auto"/>
                          </w:divBdr>
                          <w:divsChild>
                            <w:div w:id="1290669396">
                              <w:marLeft w:val="0"/>
                              <w:marRight w:val="0"/>
                              <w:marTop w:val="0"/>
                              <w:marBottom w:val="360"/>
                              <w:divBdr>
                                <w:top w:val="none" w:sz="0" w:space="0" w:color="auto"/>
                                <w:left w:val="none" w:sz="0" w:space="0" w:color="auto"/>
                                <w:bottom w:val="none" w:sz="0" w:space="0" w:color="auto"/>
                                <w:right w:val="none" w:sz="0" w:space="0" w:color="auto"/>
                              </w:divBdr>
                              <w:divsChild>
                                <w:div w:id="765157695">
                                  <w:marLeft w:val="0"/>
                                  <w:marRight w:val="0"/>
                                  <w:marTop w:val="0"/>
                                  <w:marBottom w:val="600"/>
                                  <w:divBdr>
                                    <w:top w:val="none" w:sz="0" w:space="0" w:color="auto"/>
                                    <w:left w:val="none" w:sz="0" w:space="0" w:color="auto"/>
                                    <w:bottom w:val="none" w:sz="0" w:space="0" w:color="auto"/>
                                    <w:right w:val="none" w:sz="0" w:space="0" w:color="auto"/>
                                  </w:divBdr>
                                  <w:divsChild>
                                    <w:div w:id="80060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65526">
                          <w:marLeft w:val="-225"/>
                          <w:marRight w:val="-225"/>
                          <w:marTop w:val="0"/>
                          <w:marBottom w:val="0"/>
                          <w:divBdr>
                            <w:top w:val="none" w:sz="0" w:space="0" w:color="auto"/>
                            <w:left w:val="none" w:sz="0" w:space="0" w:color="auto"/>
                            <w:bottom w:val="none" w:sz="0" w:space="0" w:color="auto"/>
                            <w:right w:val="none" w:sz="0" w:space="0" w:color="auto"/>
                          </w:divBdr>
                          <w:divsChild>
                            <w:div w:id="422336468">
                              <w:marLeft w:val="0"/>
                              <w:marRight w:val="0"/>
                              <w:marTop w:val="0"/>
                              <w:marBottom w:val="0"/>
                              <w:divBdr>
                                <w:top w:val="none" w:sz="0" w:space="0" w:color="auto"/>
                                <w:left w:val="none" w:sz="0" w:space="0" w:color="auto"/>
                                <w:bottom w:val="none" w:sz="0" w:space="0" w:color="auto"/>
                                <w:right w:val="none" w:sz="0" w:space="0" w:color="auto"/>
                              </w:divBdr>
                            </w:div>
                          </w:divsChild>
                        </w:div>
                        <w:div w:id="1694182104">
                          <w:marLeft w:val="-225"/>
                          <w:marRight w:val="-225"/>
                          <w:marTop w:val="0"/>
                          <w:marBottom w:val="0"/>
                          <w:divBdr>
                            <w:top w:val="none" w:sz="0" w:space="0" w:color="auto"/>
                            <w:left w:val="none" w:sz="0" w:space="0" w:color="auto"/>
                            <w:bottom w:val="none" w:sz="0" w:space="0" w:color="auto"/>
                            <w:right w:val="none" w:sz="0" w:space="0" w:color="auto"/>
                          </w:divBdr>
                          <w:divsChild>
                            <w:div w:id="1663661691">
                              <w:marLeft w:val="0"/>
                              <w:marRight w:val="0"/>
                              <w:marTop w:val="0"/>
                              <w:marBottom w:val="0"/>
                              <w:divBdr>
                                <w:top w:val="none" w:sz="0" w:space="0" w:color="auto"/>
                                <w:left w:val="none" w:sz="0" w:space="0" w:color="auto"/>
                                <w:bottom w:val="none" w:sz="0" w:space="0" w:color="auto"/>
                                <w:right w:val="none" w:sz="0" w:space="0" w:color="auto"/>
                              </w:divBdr>
                            </w:div>
                          </w:divsChild>
                        </w:div>
                        <w:div w:id="1954362260">
                          <w:marLeft w:val="-225"/>
                          <w:marRight w:val="-225"/>
                          <w:marTop w:val="0"/>
                          <w:marBottom w:val="0"/>
                          <w:divBdr>
                            <w:top w:val="none" w:sz="0" w:space="0" w:color="auto"/>
                            <w:left w:val="none" w:sz="0" w:space="0" w:color="auto"/>
                            <w:bottom w:val="none" w:sz="0" w:space="0" w:color="auto"/>
                            <w:right w:val="none" w:sz="0" w:space="0" w:color="auto"/>
                          </w:divBdr>
                          <w:divsChild>
                            <w:div w:id="717164134">
                              <w:marLeft w:val="0"/>
                              <w:marRight w:val="0"/>
                              <w:marTop w:val="0"/>
                              <w:marBottom w:val="0"/>
                              <w:divBdr>
                                <w:top w:val="none" w:sz="0" w:space="0" w:color="auto"/>
                                <w:left w:val="none" w:sz="0" w:space="0" w:color="auto"/>
                                <w:bottom w:val="none" w:sz="0" w:space="0" w:color="auto"/>
                                <w:right w:val="none" w:sz="0" w:space="0" w:color="auto"/>
                              </w:divBdr>
                            </w:div>
                          </w:divsChild>
                        </w:div>
                        <w:div w:id="1164011125">
                          <w:marLeft w:val="-225"/>
                          <w:marRight w:val="-225"/>
                          <w:marTop w:val="0"/>
                          <w:marBottom w:val="0"/>
                          <w:divBdr>
                            <w:top w:val="none" w:sz="0" w:space="0" w:color="auto"/>
                            <w:left w:val="none" w:sz="0" w:space="0" w:color="auto"/>
                            <w:bottom w:val="none" w:sz="0" w:space="0" w:color="auto"/>
                            <w:right w:val="none" w:sz="0" w:space="0" w:color="auto"/>
                          </w:divBdr>
                          <w:divsChild>
                            <w:div w:id="1596086710">
                              <w:marLeft w:val="0"/>
                              <w:marRight w:val="0"/>
                              <w:marTop w:val="0"/>
                              <w:marBottom w:val="0"/>
                              <w:divBdr>
                                <w:top w:val="none" w:sz="0" w:space="0" w:color="auto"/>
                                <w:left w:val="none" w:sz="0" w:space="0" w:color="auto"/>
                                <w:bottom w:val="none" w:sz="0" w:space="0" w:color="auto"/>
                                <w:right w:val="none" w:sz="0" w:space="0" w:color="auto"/>
                              </w:divBdr>
                            </w:div>
                          </w:divsChild>
                        </w:div>
                        <w:div w:id="2029604368">
                          <w:marLeft w:val="-225"/>
                          <w:marRight w:val="-225"/>
                          <w:marTop w:val="0"/>
                          <w:marBottom w:val="0"/>
                          <w:divBdr>
                            <w:top w:val="none" w:sz="0" w:space="0" w:color="auto"/>
                            <w:left w:val="none" w:sz="0" w:space="0" w:color="auto"/>
                            <w:bottom w:val="none" w:sz="0" w:space="0" w:color="auto"/>
                            <w:right w:val="none" w:sz="0" w:space="0" w:color="auto"/>
                          </w:divBdr>
                          <w:divsChild>
                            <w:div w:id="911812877">
                              <w:marLeft w:val="0"/>
                              <w:marRight w:val="0"/>
                              <w:marTop w:val="0"/>
                              <w:marBottom w:val="0"/>
                              <w:divBdr>
                                <w:top w:val="none" w:sz="0" w:space="0" w:color="auto"/>
                                <w:left w:val="none" w:sz="0" w:space="0" w:color="auto"/>
                                <w:bottom w:val="none" w:sz="0" w:space="0" w:color="auto"/>
                                <w:right w:val="none" w:sz="0" w:space="0" w:color="auto"/>
                              </w:divBdr>
                            </w:div>
                          </w:divsChild>
                        </w:div>
                        <w:div w:id="532695754">
                          <w:marLeft w:val="-225"/>
                          <w:marRight w:val="-225"/>
                          <w:marTop w:val="0"/>
                          <w:marBottom w:val="0"/>
                          <w:divBdr>
                            <w:top w:val="none" w:sz="0" w:space="0" w:color="auto"/>
                            <w:left w:val="none" w:sz="0" w:space="0" w:color="auto"/>
                            <w:bottom w:val="none" w:sz="0" w:space="0" w:color="auto"/>
                            <w:right w:val="none" w:sz="0" w:space="0" w:color="auto"/>
                          </w:divBdr>
                          <w:divsChild>
                            <w:div w:id="16850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ion.com/el-pais/gobierno/mep-pagara-en-el-2018-mas-pluses-que-salarios/F6UWWQOQH5H7FLXB7CSCLQCZGA/stor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cion.com/el-pais/educacion/mep-paga-caros-incentivos-y-recargos-que-no-contribuyen-a-educacion/HGGM2FKFNZBCZHAOKBD4HNMTRA/story/"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nacion.com/el-pais/educacion/ocde-senala-poca-mejora-en-estudiantes-ticos-pese-a-alta-inversion/3TSAQYOMRND7LDLET7WRQRYCCA/story/" TargetMode="External"/><Relationship Id="rId5" Type="http://schemas.openxmlformats.org/officeDocument/2006/relationships/hyperlink" Target="https://www.nacion.com/autores/daniela-cerdas-e/" TargetMode="External"/><Relationship Id="rId10" Type="http://schemas.openxmlformats.org/officeDocument/2006/relationships/hyperlink" Target="https://www.nacion.com/el-pais/educacion/maestros-del-mep-ahogados-en-deudas-la-mayoria/HGAXY465SZBUTIJZFG3UNIQF6E/story/" TargetMode="External"/><Relationship Id="rId4" Type="http://schemas.openxmlformats.org/officeDocument/2006/relationships/hyperlink" Target="https://www.nacion.com/el-pais/educacion/el-52-de-los-docentes-del-mep-reciben-salario/R7APKOH4LZE45EHUY5T5ICAVDU/story/" TargetMode="Externa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1203</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2</cp:revision>
  <dcterms:created xsi:type="dcterms:W3CDTF">2018-12-05T15:01:00Z</dcterms:created>
  <dcterms:modified xsi:type="dcterms:W3CDTF">2018-12-05T15:01:00Z</dcterms:modified>
</cp:coreProperties>
</file>