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2F47EA" w:rsidRDefault="002F47EA">
      <w:pPr>
        <w:rPr>
          <w:lang w:val="en-US"/>
        </w:rPr>
      </w:pPr>
      <w:r w:rsidRPr="002F47EA">
        <w:rPr>
          <w:lang w:val="en-US"/>
        </w:rPr>
        <w:t xml:space="preserve">Enlace: </w:t>
      </w:r>
      <w:hyperlink r:id="rId4" w:history="1">
        <w:r w:rsidRPr="002F47EA">
          <w:rPr>
            <w:rStyle w:val="Hipervnculo"/>
            <w:lang w:val="en-US"/>
          </w:rPr>
          <w:t>https://www.nacion.com/economia/indicadores/inflacion-de-costa-rica-vuelve-a-acelerarse/VQNK5MB5VFFFNM52GUUSPARBSM/story/</w:t>
        </w:r>
      </w:hyperlink>
    </w:p>
    <w:p w:rsidR="002F47EA" w:rsidRPr="002F47EA" w:rsidRDefault="002F47EA">
      <w:pPr>
        <w:rPr>
          <w:lang w:val="en-US"/>
        </w:rPr>
      </w:pPr>
    </w:p>
    <w:p w:rsidR="002F47EA" w:rsidRDefault="002F47EA" w:rsidP="002F47EA">
      <w:pPr>
        <w:spacing w:line="750" w:lineRule="atLeast"/>
        <w:rPr>
          <w:rFonts w:ascii="Arial" w:hAnsi="Arial" w:cs="Arial"/>
          <w:b/>
          <w:bCs/>
          <w:color w:val="000000"/>
          <w:spacing w:val="15"/>
          <w:sz w:val="60"/>
          <w:szCs w:val="60"/>
        </w:rPr>
      </w:pPr>
      <w:bookmarkStart w:id="0" w:name="_GoBack"/>
      <w:r>
        <w:rPr>
          <w:rFonts w:ascii="Arial" w:hAnsi="Arial" w:cs="Arial"/>
          <w:b/>
          <w:bCs/>
          <w:color w:val="000000"/>
          <w:spacing w:val="15"/>
          <w:sz w:val="60"/>
          <w:szCs w:val="60"/>
        </w:rPr>
        <w:t>Inflación de Costa Rica vuelve a acelerarse durante noviembre</w:t>
      </w:r>
    </w:p>
    <w:bookmarkEnd w:id="0"/>
    <w:p w:rsidR="002F47EA" w:rsidRDefault="002F47EA" w:rsidP="002F47EA">
      <w:pPr>
        <w:pStyle w:val="subheadline"/>
        <w:spacing w:before="0" w:beforeAutospacing="0" w:after="450" w:afterAutospacing="0" w:line="315" w:lineRule="atLeast"/>
        <w:ind w:right="-225"/>
        <w:rPr>
          <w:rFonts w:ascii="Arial" w:hAnsi="Arial" w:cs="Arial"/>
          <w:color w:val="4A4A4A"/>
          <w:sz w:val="27"/>
          <w:szCs w:val="27"/>
        </w:rPr>
      </w:pPr>
      <w:r>
        <w:rPr>
          <w:rFonts w:ascii="Arial" w:hAnsi="Arial" w:cs="Arial"/>
          <w:color w:val="4A4A4A"/>
          <w:sz w:val="27"/>
          <w:szCs w:val="27"/>
        </w:rPr>
        <w:t>Indicador tuvo variación interanual de 2,29%. Boletos aéreos, paquetes turísticos y gasolina entre los que influyeron más en alza de precios el mes anterior, según INEC.</w:t>
      </w:r>
    </w:p>
    <w:p w:rsidR="002F47EA" w:rsidRDefault="002F47EA" w:rsidP="002F47EA">
      <w:pPr>
        <w:rPr>
          <w:rFonts w:ascii="Times New Roman" w:hAnsi="Times New Roman" w:cs="Times New Roman"/>
          <w:sz w:val="24"/>
          <w:szCs w:val="24"/>
        </w:rPr>
      </w:pPr>
      <w:hyperlink r:id="rId5" w:history="1">
        <w:r>
          <w:rPr>
            <w:rStyle w:val="Hipervnculo"/>
            <w:rFonts w:ascii="Arial" w:hAnsi="Arial" w:cs="Arial"/>
            <w:b/>
            <w:bCs/>
            <w:sz w:val="21"/>
            <w:szCs w:val="21"/>
          </w:rPr>
          <w:t>Óscar Rodríguez</w:t>
        </w:r>
      </w:hyperlink>
      <w:r>
        <w:rPr>
          <w:rStyle w:val="author"/>
          <w:rFonts w:ascii="Arial" w:hAnsi="Arial" w:cs="Arial"/>
          <w:color w:val="4A90E2"/>
          <w:sz w:val="21"/>
          <w:szCs w:val="21"/>
        </w:rPr>
        <w:t>. Hace 3 días</w:t>
      </w:r>
    </w:p>
    <w:p w:rsidR="002F47EA" w:rsidRDefault="002F47EA" w:rsidP="002F47EA">
      <w:pPr>
        <w:rPr>
          <w:rFonts w:ascii="Arial" w:hAnsi="Arial" w:cs="Arial"/>
          <w:sz w:val="27"/>
          <w:szCs w:val="27"/>
        </w:rPr>
      </w:pPr>
      <w:r>
        <w:rPr>
          <w:rFonts w:ascii="Arial" w:hAnsi="Arial" w:cs="Arial"/>
          <w:noProof/>
          <w:sz w:val="27"/>
          <w:szCs w:val="27"/>
          <w:lang w:eastAsia="es-ES"/>
        </w:rPr>
        <w:drawing>
          <wp:inline distT="0" distB="0" distL="0" distR="0">
            <wp:extent cx="5177131" cy="3448050"/>
            <wp:effectExtent l="0" t="0" r="5080" b="0"/>
            <wp:docPr id="1" name="Imagen 1" descr="Los boletos aéreos y los paquetes turísticos estuvieron entre los servicios que más variaron de precio en noviembre pasado, incluido por la apreciación del precio del dólar. Un grupo de turistas en Río Celeste, en Guatuso. Foto: Melissa Fernández Sil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MXAORVXJFA3HAADKDUHIXEGFA" descr="Los boletos aéreos y los paquetes turísticos estuvieron entre los servicios que más variaron de precio en noviembre pasado, incluido por la apreciación del precio del dólar. Un grupo de turistas en Río Celeste, en Guatuso. Foto: Melissa Fernández Silv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1636" cy="3457710"/>
                    </a:xfrm>
                    <a:prstGeom prst="rect">
                      <a:avLst/>
                    </a:prstGeom>
                    <a:noFill/>
                    <a:ln>
                      <a:noFill/>
                    </a:ln>
                  </pic:spPr>
                </pic:pic>
              </a:graphicData>
            </a:graphic>
          </wp:inline>
        </w:drawing>
      </w:r>
    </w:p>
    <w:p w:rsidR="002F47EA" w:rsidRDefault="002F47EA" w:rsidP="002F47EA">
      <w:pPr>
        <w:rPr>
          <w:rFonts w:ascii="Times New Roman" w:hAnsi="Times New Roman" w:cs="Times New Roman"/>
          <w:sz w:val="24"/>
          <w:szCs w:val="24"/>
        </w:rPr>
      </w:pPr>
      <w:r>
        <w:rPr>
          <w:rStyle w:val="credit"/>
          <w:rFonts w:ascii="Arial" w:hAnsi="Arial" w:cs="Arial"/>
          <w:color w:val="4A4A4A"/>
          <w:sz w:val="21"/>
          <w:szCs w:val="21"/>
        </w:rPr>
        <w:t>Los boletos aéreos y los paquetes turísticos estuvieron entre los servicios que más variaron de precio en noviembre pasado, incluido por la apreciación del precio del dólar. Un grupo de turistas en Río Celeste, en Guatuso. Foto: Melissa Fernández Silva.</w:t>
      </w:r>
    </w:p>
    <w:p w:rsidR="002F47EA" w:rsidRDefault="002F47EA" w:rsidP="002F47EA">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La inflación de Costa Rica volvió a acelerarse en noviembre anterior, después de mostrar una tendencia descendente.</w:t>
      </w:r>
    </w:p>
    <w:p w:rsidR="002F47EA" w:rsidRDefault="002F47EA" w:rsidP="002F47EA">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El Índice de Precios al Consumidor (IPC) reportó una variación interanual de 2,29% el mes pasado, comparado con el mismo periodo </w:t>
      </w:r>
      <w:r>
        <w:rPr>
          <w:rFonts w:ascii="Arial" w:hAnsi="Arial" w:cs="Arial"/>
          <w:color w:val="000000"/>
          <w:sz w:val="27"/>
          <w:szCs w:val="27"/>
        </w:rPr>
        <w:lastRenderedPageBreak/>
        <w:t>del 2017, detalló este 7 de diciembre el Instituto Nacional de Estadística y Censos (INEC).</w:t>
      </w:r>
    </w:p>
    <w:p w:rsidR="002F47EA" w:rsidRDefault="002F47EA" w:rsidP="002F47EA">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El indicador tuvo una desaceleración en octubre cuando cerró con una variación 2,09% durante 12 meses.</w:t>
      </w:r>
    </w:p>
    <w:p w:rsidR="002F47EA" w:rsidRDefault="002F47EA" w:rsidP="002F47EA">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A nivel mensual, la información difundida muestra que noviembre reportó la variación de precios más alta del 2018 con 0,42%.</w:t>
      </w:r>
    </w:p>
    <w:p w:rsidR="002F47EA" w:rsidRDefault="002F47EA" w:rsidP="002F47EA">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La medición hecha por el INEC determinó que los bienes y servicios vinculados al precio del dólar estuvieron entre los que más </w:t>
      </w:r>
      <w:proofErr w:type="gramStart"/>
      <w:r>
        <w:rPr>
          <w:rFonts w:ascii="Arial" w:hAnsi="Arial" w:cs="Arial"/>
          <w:color w:val="000000"/>
          <w:sz w:val="27"/>
          <w:szCs w:val="27"/>
        </w:rPr>
        <w:t>influyeron</w:t>
      </w:r>
      <w:proofErr w:type="gramEnd"/>
      <w:r>
        <w:rPr>
          <w:rFonts w:ascii="Arial" w:hAnsi="Arial" w:cs="Arial"/>
          <w:color w:val="000000"/>
          <w:sz w:val="27"/>
          <w:szCs w:val="27"/>
        </w:rPr>
        <w:t xml:space="preserve"> la inflación.</w:t>
      </w:r>
    </w:p>
    <w:p w:rsidR="002F47EA" w:rsidRDefault="002F47EA" w:rsidP="002F47EA">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Destacan los boletos aéreos que crecieron 7,62% durante el mes pasado. También sobresalieron los paquetes turísticos con una variación de 3,93%, los servicios de alojamiento con 3,52% y la gasolina con 1,14%.</w:t>
      </w:r>
    </w:p>
    <w:p w:rsidR="002F47EA" w:rsidRDefault="002F47EA" w:rsidP="002F47EA">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Asimismo hubo otros que disminuyeron la variación en el precio. Entre los principales están el servicio de Internet con -6,37% y los celulares con -2,19%.</w:t>
      </w:r>
    </w:p>
    <w:p w:rsidR="002F47EA" w:rsidRDefault="002F47EA" w:rsidP="002F47EA">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Entre otros productos de consumo estuvieron la sandía con -10,60% y la pizza con -3,61%.</w:t>
      </w:r>
    </w:p>
    <w:p w:rsidR="002F47EA" w:rsidRPr="002F47EA" w:rsidRDefault="002F47EA" w:rsidP="002F47EA">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“De los 315 bienes y servicios que integran la canasta de consumo, 57% aumentaron de precio, 34% disminuyeron de precio y 9% no presentaron variación“, según el INEC.</w:t>
      </w:r>
    </w:p>
    <w:sectPr w:rsidR="002F47EA" w:rsidRPr="002F47E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7EA"/>
    <w:rsid w:val="002F1ABE"/>
    <w:rsid w:val="002F47EA"/>
    <w:rsid w:val="00744CFE"/>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461427-B6B6-47EC-8B76-205D7CE0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F47EA"/>
    <w:rPr>
      <w:color w:val="0563C1" w:themeColor="hyperlink"/>
      <w:u w:val="single"/>
    </w:rPr>
  </w:style>
  <w:style w:type="paragraph" w:customStyle="1" w:styleId="subheadline">
    <w:name w:val="subheadline"/>
    <w:basedOn w:val="Normal"/>
    <w:rsid w:val="002F47E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2F47EA"/>
  </w:style>
  <w:style w:type="character" w:customStyle="1" w:styleId="credit">
    <w:name w:val="credit"/>
    <w:basedOn w:val="Fuentedeprrafopredeter"/>
    <w:rsid w:val="002F47EA"/>
  </w:style>
  <w:style w:type="paragraph" w:customStyle="1" w:styleId="element">
    <w:name w:val="element"/>
    <w:basedOn w:val="Normal"/>
    <w:rsid w:val="002F47EA"/>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165567">
      <w:bodyDiv w:val="1"/>
      <w:marLeft w:val="0"/>
      <w:marRight w:val="0"/>
      <w:marTop w:val="0"/>
      <w:marBottom w:val="0"/>
      <w:divBdr>
        <w:top w:val="none" w:sz="0" w:space="0" w:color="auto"/>
        <w:left w:val="none" w:sz="0" w:space="0" w:color="auto"/>
        <w:bottom w:val="none" w:sz="0" w:space="0" w:color="auto"/>
        <w:right w:val="none" w:sz="0" w:space="0" w:color="auto"/>
      </w:divBdr>
      <w:divsChild>
        <w:div w:id="1775637637">
          <w:marLeft w:val="0"/>
          <w:marRight w:val="0"/>
          <w:marTop w:val="0"/>
          <w:marBottom w:val="0"/>
          <w:divBdr>
            <w:top w:val="none" w:sz="0" w:space="0" w:color="auto"/>
            <w:left w:val="none" w:sz="0" w:space="0" w:color="auto"/>
            <w:bottom w:val="none" w:sz="0" w:space="0" w:color="auto"/>
            <w:right w:val="none" w:sz="0" w:space="0" w:color="auto"/>
          </w:divBdr>
          <w:divsChild>
            <w:div w:id="1711370424">
              <w:marLeft w:val="0"/>
              <w:marRight w:val="0"/>
              <w:marTop w:val="0"/>
              <w:marBottom w:val="0"/>
              <w:divBdr>
                <w:top w:val="none" w:sz="0" w:space="0" w:color="auto"/>
                <w:left w:val="none" w:sz="0" w:space="0" w:color="auto"/>
                <w:bottom w:val="none" w:sz="0" w:space="0" w:color="auto"/>
                <w:right w:val="none" w:sz="0" w:space="0" w:color="auto"/>
              </w:divBdr>
              <w:divsChild>
                <w:div w:id="443841867">
                  <w:marLeft w:val="-225"/>
                  <w:marRight w:val="-225"/>
                  <w:marTop w:val="0"/>
                  <w:marBottom w:val="0"/>
                  <w:divBdr>
                    <w:top w:val="none" w:sz="0" w:space="0" w:color="auto"/>
                    <w:left w:val="none" w:sz="0" w:space="0" w:color="auto"/>
                    <w:bottom w:val="none" w:sz="0" w:space="0" w:color="auto"/>
                    <w:right w:val="none" w:sz="0" w:space="0" w:color="auto"/>
                  </w:divBdr>
                  <w:divsChild>
                    <w:div w:id="1353141261">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 w:id="274562502">
          <w:marLeft w:val="0"/>
          <w:marRight w:val="0"/>
          <w:marTop w:val="0"/>
          <w:marBottom w:val="0"/>
          <w:divBdr>
            <w:top w:val="none" w:sz="0" w:space="0" w:color="auto"/>
            <w:left w:val="none" w:sz="0" w:space="0" w:color="auto"/>
            <w:bottom w:val="none" w:sz="0" w:space="0" w:color="auto"/>
            <w:right w:val="none" w:sz="0" w:space="0" w:color="auto"/>
          </w:divBdr>
          <w:divsChild>
            <w:div w:id="516505608">
              <w:marLeft w:val="0"/>
              <w:marRight w:val="0"/>
              <w:marTop w:val="0"/>
              <w:marBottom w:val="0"/>
              <w:divBdr>
                <w:top w:val="none" w:sz="0" w:space="0" w:color="auto"/>
                <w:left w:val="none" w:sz="0" w:space="0" w:color="auto"/>
                <w:bottom w:val="none" w:sz="0" w:space="0" w:color="auto"/>
                <w:right w:val="none" w:sz="0" w:space="0" w:color="auto"/>
              </w:divBdr>
              <w:divsChild>
                <w:div w:id="722675545">
                  <w:marLeft w:val="0"/>
                  <w:marRight w:val="0"/>
                  <w:marTop w:val="0"/>
                  <w:marBottom w:val="300"/>
                  <w:divBdr>
                    <w:top w:val="none" w:sz="0" w:space="0" w:color="auto"/>
                    <w:left w:val="none" w:sz="0" w:space="0" w:color="auto"/>
                    <w:bottom w:val="none" w:sz="0" w:space="0" w:color="auto"/>
                    <w:right w:val="none" w:sz="0" w:space="0" w:color="auto"/>
                  </w:divBdr>
                  <w:divsChild>
                    <w:div w:id="805003465">
                      <w:marLeft w:val="0"/>
                      <w:marRight w:val="0"/>
                      <w:marTop w:val="0"/>
                      <w:marBottom w:val="0"/>
                      <w:divBdr>
                        <w:top w:val="none" w:sz="0" w:space="0" w:color="auto"/>
                        <w:left w:val="none" w:sz="0" w:space="0" w:color="auto"/>
                        <w:bottom w:val="none" w:sz="0" w:space="0" w:color="auto"/>
                        <w:right w:val="none" w:sz="0" w:space="0" w:color="auto"/>
                      </w:divBdr>
                      <w:divsChild>
                        <w:div w:id="1572888012">
                          <w:marLeft w:val="-225"/>
                          <w:marRight w:val="-225"/>
                          <w:marTop w:val="0"/>
                          <w:marBottom w:val="0"/>
                          <w:divBdr>
                            <w:top w:val="none" w:sz="0" w:space="0" w:color="auto"/>
                            <w:left w:val="none" w:sz="0" w:space="0" w:color="auto"/>
                            <w:bottom w:val="none" w:sz="0" w:space="0" w:color="auto"/>
                            <w:right w:val="none" w:sz="0" w:space="0" w:color="auto"/>
                          </w:divBdr>
                          <w:divsChild>
                            <w:div w:id="1173690892">
                              <w:marLeft w:val="0"/>
                              <w:marRight w:val="0"/>
                              <w:marTop w:val="0"/>
                              <w:marBottom w:val="75"/>
                              <w:divBdr>
                                <w:top w:val="none" w:sz="0" w:space="0" w:color="auto"/>
                                <w:left w:val="none" w:sz="0" w:space="0" w:color="auto"/>
                                <w:bottom w:val="none" w:sz="0" w:space="0" w:color="auto"/>
                                <w:right w:val="none" w:sz="0" w:space="0" w:color="auto"/>
                              </w:divBdr>
                              <w:divsChild>
                                <w:div w:id="8916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80046">
                          <w:marLeft w:val="-225"/>
                          <w:marRight w:val="-225"/>
                          <w:marTop w:val="0"/>
                          <w:marBottom w:val="0"/>
                          <w:divBdr>
                            <w:top w:val="none" w:sz="0" w:space="0" w:color="auto"/>
                            <w:left w:val="none" w:sz="0" w:space="0" w:color="auto"/>
                            <w:bottom w:val="none" w:sz="0" w:space="0" w:color="auto"/>
                            <w:right w:val="none" w:sz="0" w:space="0" w:color="auto"/>
                          </w:divBdr>
                          <w:divsChild>
                            <w:div w:id="1865052436">
                              <w:marLeft w:val="0"/>
                              <w:marRight w:val="0"/>
                              <w:marTop w:val="0"/>
                              <w:marBottom w:val="0"/>
                              <w:divBdr>
                                <w:top w:val="none" w:sz="0" w:space="0" w:color="auto"/>
                                <w:left w:val="none" w:sz="0" w:space="0" w:color="auto"/>
                                <w:bottom w:val="none" w:sz="0" w:space="0" w:color="auto"/>
                                <w:right w:val="none" w:sz="0" w:space="0" w:color="auto"/>
                              </w:divBdr>
                            </w:div>
                          </w:divsChild>
                        </w:div>
                        <w:div w:id="27337113">
                          <w:marLeft w:val="-225"/>
                          <w:marRight w:val="-225"/>
                          <w:marTop w:val="0"/>
                          <w:marBottom w:val="0"/>
                          <w:divBdr>
                            <w:top w:val="none" w:sz="0" w:space="0" w:color="auto"/>
                            <w:left w:val="none" w:sz="0" w:space="0" w:color="auto"/>
                            <w:bottom w:val="none" w:sz="0" w:space="0" w:color="auto"/>
                            <w:right w:val="none" w:sz="0" w:space="0" w:color="auto"/>
                          </w:divBdr>
                          <w:divsChild>
                            <w:div w:id="343751410">
                              <w:marLeft w:val="0"/>
                              <w:marRight w:val="0"/>
                              <w:marTop w:val="0"/>
                              <w:marBottom w:val="0"/>
                              <w:divBdr>
                                <w:top w:val="none" w:sz="0" w:space="0" w:color="auto"/>
                                <w:left w:val="none" w:sz="0" w:space="0" w:color="auto"/>
                                <w:bottom w:val="none" w:sz="0" w:space="0" w:color="auto"/>
                                <w:right w:val="none" w:sz="0" w:space="0" w:color="auto"/>
                              </w:divBdr>
                            </w:div>
                          </w:divsChild>
                        </w:div>
                        <w:div w:id="1428580083">
                          <w:marLeft w:val="-225"/>
                          <w:marRight w:val="-225"/>
                          <w:marTop w:val="0"/>
                          <w:marBottom w:val="0"/>
                          <w:divBdr>
                            <w:top w:val="none" w:sz="0" w:space="0" w:color="auto"/>
                            <w:left w:val="none" w:sz="0" w:space="0" w:color="auto"/>
                            <w:bottom w:val="none" w:sz="0" w:space="0" w:color="auto"/>
                            <w:right w:val="none" w:sz="0" w:space="0" w:color="auto"/>
                          </w:divBdr>
                          <w:divsChild>
                            <w:div w:id="1910072152">
                              <w:marLeft w:val="0"/>
                              <w:marRight w:val="0"/>
                              <w:marTop w:val="0"/>
                              <w:marBottom w:val="0"/>
                              <w:divBdr>
                                <w:top w:val="none" w:sz="0" w:space="0" w:color="auto"/>
                                <w:left w:val="none" w:sz="0" w:space="0" w:color="auto"/>
                                <w:bottom w:val="none" w:sz="0" w:space="0" w:color="auto"/>
                                <w:right w:val="none" w:sz="0" w:space="0" w:color="auto"/>
                              </w:divBdr>
                            </w:div>
                          </w:divsChild>
                        </w:div>
                        <w:div w:id="1112820981">
                          <w:marLeft w:val="-225"/>
                          <w:marRight w:val="-225"/>
                          <w:marTop w:val="0"/>
                          <w:marBottom w:val="0"/>
                          <w:divBdr>
                            <w:top w:val="none" w:sz="0" w:space="0" w:color="auto"/>
                            <w:left w:val="none" w:sz="0" w:space="0" w:color="auto"/>
                            <w:bottom w:val="none" w:sz="0" w:space="0" w:color="auto"/>
                            <w:right w:val="none" w:sz="0" w:space="0" w:color="auto"/>
                          </w:divBdr>
                          <w:divsChild>
                            <w:div w:id="385423010">
                              <w:marLeft w:val="0"/>
                              <w:marRight w:val="0"/>
                              <w:marTop w:val="0"/>
                              <w:marBottom w:val="0"/>
                              <w:divBdr>
                                <w:top w:val="none" w:sz="0" w:space="0" w:color="auto"/>
                                <w:left w:val="none" w:sz="0" w:space="0" w:color="auto"/>
                                <w:bottom w:val="none" w:sz="0" w:space="0" w:color="auto"/>
                                <w:right w:val="none" w:sz="0" w:space="0" w:color="auto"/>
                              </w:divBdr>
                            </w:div>
                          </w:divsChild>
                        </w:div>
                        <w:div w:id="2018262385">
                          <w:marLeft w:val="-225"/>
                          <w:marRight w:val="-225"/>
                          <w:marTop w:val="0"/>
                          <w:marBottom w:val="0"/>
                          <w:divBdr>
                            <w:top w:val="none" w:sz="0" w:space="0" w:color="auto"/>
                            <w:left w:val="none" w:sz="0" w:space="0" w:color="auto"/>
                            <w:bottom w:val="none" w:sz="0" w:space="0" w:color="auto"/>
                            <w:right w:val="none" w:sz="0" w:space="0" w:color="auto"/>
                          </w:divBdr>
                          <w:divsChild>
                            <w:div w:id="2085180065">
                              <w:marLeft w:val="0"/>
                              <w:marRight w:val="0"/>
                              <w:marTop w:val="0"/>
                              <w:marBottom w:val="0"/>
                              <w:divBdr>
                                <w:top w:val="none" w:sz="0" w:space="0" w:color="auto"/>
                                <w:left w:val="none" w:sz="0" w:space="0" w:color="auto"/>
                                <w:bottom w:val="none" w:sz="0" w:space="0" w:color="auto"/>
                                <w:right w:val="none" w:sz="0" w:space="0" w:color="auto"/>
                              </w:divBdr>
                            </w:div>
                          </w:divsChild>
                        </w:div>
                        <w:div w:id="419105170">
                          <w:marLeft w:val="-225"/>
                          <w:marRight w:val="-225"/>
                          <w:marTop w:val="0"/>
                          <w:marBottom w:val="0"/>
                          <w:divBdr>
                            <w:top w:val="none" w:sz="0" w:space="0" w:color="auto"/>
                            <w:left w:val="none" w:sz="0" w:space="0" w:color="auto"/>
                            <w:bottom w:val="none" w:sz="0" w:space="0" w:color="auto"/>
                            <w:right w:val="none" w:sz="0" w:space="0" w:color="auto"/>
                          </w:divBdr>
                          <w:divsChild>
                            <w:div w:id="852300648">
                              <w:marLeft w:val="0"/>
                              <w:marRight w:val="0"/>
                              <w:marTop w:val="0"/>
                              <w:marBottom w:val="0"/>
                              <w:divBdr>
                                <w:top w:val="none" w:sz="0" w:space="0" w:color="auto"/>
                                <w:left w:val="none" w:sz="0" w:space="0" w:color="auto"/>
                                <w:bottom w:val="none" w:sz="0" w:space="0" w:color="auto"/>
                                <w:right w:val="none" w:sz="0" w:space="0" w:color="auto"/>
                              </w:divBdr>
                            </w:div>
                          </w:divsChild>
                        </w:div>
                        <w:div w:id="1643316585">
                          <w:marLeft w:val="-225"/>
                          <w:marRight w:val="-225"/>
                          <w:marTop w:val="0"/>
                          <w:marBottom w:val="0"/>
                          <w:divBdr>
                            <w:top w:val="none" w:sz="0" w:space="0" w:color="auto"/>
                            <w:left w:val="none" w:sz="0" w:space="0" w:color="auto"/>
                            <w:bottom w:val="none" w:sz="0" w:space="0" w:color="auto"/>
                            <w:right w:val="none" w:sz="0" w:space="0" w:color="auto"/>
                          </w:divBdr>
                          <w:divsChild>
                            <w:div w:id="628901005">
                              <w:marLeft w:val="0"/>
                              <w:marRight w:val="0"/>
                              <w:marTop w:val="0"/>
                              <w:marBottom w:val="0"/>
                              <w:divBdr>
                                <w:top w:val="none" w:sz="0" w:space="0" w:color="auto"/>
                                <w:left w:val="none" w:sz="0" w:space="0" w:color="auto"/>
                                <w:bottom w:val="none" w:sz="0" w:space="0" w:color="auto"/>
                                <w:right w:val="none" w:sz="0" w:space="0" w:color="auto"/>
                              </w:divBdr>
                            </w:div>
                          </w:divsChild>
                        </w:div>
                        <w:div w:id="1582523139">
                          <w:marLeft w:val="-225"/>
                          <w:marRight w:val="-225"/>
                          <w:marTop w:val="0"/>
                          <w:marBottom w:val="0"/>
                          <w:divBdr>
                            <w:top w:val="none" w:sz="0" w:space="0" w:color="auto"/>
                            <w:left w:val="none" w:sz="0" w:space="0" w:color="auto"/>
                            <w:bottom w:val="none" w:sz="0" w:space="0" w:color="auto"/>
                            <w:right w:val="none" w:sz="0" w:space="0" w:color="auto"/>
                          </w:divBdr>
                          <w:divsChild>
                            <w:div w:id="397434409">
                              <w:marLeft w:val="0"/>
                              <w:marRight w:val="0"/>
                              <w:marTop w:val="0"/>
                              <w:marBottom w:val="0"/>
                              <w:divBdr>
                                <w:top w:val="none" w:sz="0" w:space="0" w:color="auto"/>
                                <w:left w:val="none" w:sz="0" w:space="0" w:color="auto"/>
                                <w:bottom w:val="none" w:sz="0" w:space="0" w:color="auto"/>
                                <w:right w:val="none" w:sz="0" w:space="0" w:color="auto"/>
                              </w:divBdr>
                            </w:div>
                          </w:divsChild>
                        </w:div>
                        <w:div w:id="674772994">
                          <w:marLeft w:val="-225"/>
                          <w:marRight w:val="-225"/>
                          <w:marTop w:val="0"/>
                          <w:marBottom w:val="0"/>
                          <w:divBdr>
                            <w:top w:val="none" w:sz="0" w:space="0" w:color="auto"/>
                            <w:left w:val="none" w:sz="0" w:space="0" w:color="auto"/>
                            <w:bottom w:val="none" w:sz="0" w:space="0" w:color="auto"/>
                            <w:right w:val="none" w:sz="0" w:space="0" w:color="auto"/>
                          </w:divBdr>
                          <w:divsChild>
                            <w:div w:id="11124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nacion.com/autores/oscar-rodriguez/" TargetMode="External"/><Relationship Id="rId4" Type="http://schemas.openxmlformats.org/officeDocument/2006/relationships/hyperlink" Target="https://www.nacion.com/economia/indicadores/inflacion-de-costa-rica-vuelve-a-acelerarse/VQNK5MB5VFFFNM52GUUSPARBSM/stor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336</Words>
  <Characters>1851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2018-12-10T19:38:00Z</dcterms:created>
  <dcterms:modified xsi:type="dcterms:W3CDTF">2018-12-10T19:39:00Z</dcterms:modified>
</cp:coreProperties>
</file>