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AD19BB" w:rsidRDefault="00AD19BB">
      <w:pPr>
        <w:rPr>
          <w:lang w:val="en-US"/>
        </w:rPr>
      </w:pPr>
      <w:r w:rsidRPr="00AD19BB">
        <w:rPr>
          <w:lang w:val="en-US"/>
        </w:rPr>
        <w:t xml:space="preserve">Enlace: </w:t>
      </w:r>
      <w:hyperlink r:id="rId4" w:history="1">
        <w:r w:rsidRPr="00AD19BB">
          <w:rPr>
            <w:rStyle w:val="Hipervnculo"/>
            <w:lang w:val="en-US"/>
          </w:rPr>
          <w:t>https://www.elfinancierocr.com/finanzas/inflacion-mensual-de-noviembre-es-la-mas-alta-del/4KNGXNBARZDPTNY6TKK7LV5YPY/story/</w:t>
        </w:r>
      </w:hyperlink>
    </w:p>
    <w:p w:rsidR="00AD19BB" w:rsidRDefault="00AD19BB">
      <w:pPr>
        <w:rPr>
          <w:lang w:val="en-US"/>
        </w:rPr>
      </w:pPr>
    </w:p>
    <w:p w:rsidR="00AD19BB" w:rsidRPr="00AD19BB" w:rsidRDefault="00AD19BB" w:rsidP="00AD19BB">
      <w:pPr>
        <w:rPr>
          <w:lang w:val="en-US"/>
        </w:rPr>
      </w:pPr>
      <w:r w:rsidRPr="00AD19BB">
        <w:rPr>
          <w:lang w:val="en-US"/>
        </w:rPr>
        <w:br/>
      </w:r>
    </w:p>
    <w:p w:rsidR="00AD19BB" w:rsidRDefault="00AD19BB" w:rsidP="00AD19BB">
      <w:pPr>
        <w:spacing w:line="240" w:lineRule="atLeast"/>
        <w:rPr>
          <w:rFonts w:ascii="Arial" w:hAnsi="Arial" w:cs="Arial"/>
          <w:b/>
          <w:bCs/>
          <w:caps/>
          <w:color w:val="982850"/>
          <w:sz w:val="21"/>
          <w:szCs w:val="21"/>
        </w:rPr>
      </w:pPr>
      <w:hyperlink r:id="rId5" w:history="1">
        <w:r>
          <w:rPr>
            <w:rStyle w:val="Hipervnculo"/>
            <w:rFonts w:ascii="Arial" w:hAnsi="Arial" w:cs="Arial"/>
            <w:b/>
            <w:bCs/>
            <w:caps/>
            <w:sz w:val="21"/>
            <w:szCs w:val="21"/>
          </w:rPr>
          <w:t>FINANZAS</w:t>
        </w:r>
      </w:hyperlink>
    </w:p>
    <w:p w:rsidR="00AD19BB" w:rsidRDefault="00AD19BB" w:rsidP="00AD19BB">
      <w:pPr>
        <w:spacing w:line="825" w:lineRule="atLeast"/>
        <w:rPr>
          <w:rFonts w:ascii="Arial" w:hAnsi="Arial" w:cs="Arial"/>
          <w:b/>
          <w:bCs/>
          <w:color w:val="000000"/>
          <w:spacing w:val="15"/>
          <w:sz w:val="66"/>
          <w:szCs w:val="66"/>
        </w:rPr>
      </w:pPr>
      <w:bookmarkStart w:id="0" w:name="_GoBack"/>
      <w:r>
        <w:rPr>
          <w:rFonts w:ascii="Arial" w:hAnsi="Arial" w:cs="Arial"/>
          <w:b/>
          <w:bCs/>
          <w:color w:val="000000"/>
          <w:spacing w:val="15"/>
          <w:sz w:val="66"/>
          <w:szCs w:val="66"/>
        </w:rPr>
        <w:t>Inflación mensual de noviembre es la más alta del año</w:t>
      </w:r>
    </w:p>
    <w:bookmarkEnd w:id="0"/>
    <w:p w:rsidR="00AD19BB" w:rsidRDefault="00AD19BB" w:rsidP="00AD19BB">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Con respecto al mismo mes del año previo, el incremento es de 2,29%</w:t>
      </w:r>
    </w:p>
    <w:p w:rsidR="00AD19BB" w:rsidRDefault="00AD19BB" w:rsidP="00AD19BB">
      <w:pPr>
        <w:rPr>
          <w:rFonts w:ascii="Times New Roman" w:hAnsi="Times New Roman" w:cs="Times New Roman"/>
          <w:sz w:val="24"/>
          <w:szCs w:val="24"/>
        </w:rPr>
      </w:pPr>
      <w:r>
        <w:rPr>
          <w:rStyle w:val="author"/>
          <w:rFonts w:ascii="Arial" w:hAnsi="Arial" w:cs="Arial"/>
          <w:b/>
          <w:bCs/>
          <w:color w:val="4A4A4A"/>
          <w:sz w:val="21"/>
          <w:szCs w:val="21"/>
        </w:rPr>
        <w:t>Por: </w:t>
      </w:r>
      <w:hyperlink r:id="rId6" w:history="1">
        <w:r>
          <w:rPr>
            <w:rStyle w:val="Hipervnculo"/>
            <w:rFonts w:ascii="Arial" w:hAnsi="Arial" w:cs="Arial"/>
            <w:b/>
            <w:bCs/>
            <w:sz w:val="21"/>
            <w:szCs w:val="21"/>
          </w:rPr>
          <w:t xml:space="preserve">María Esther </w:t>
        </w:r>
        <w:proofErr w:type="spellStart"/>
        <w:r>
          <w:rPr>
            <w:rStyle w:val="Hipervnculo"/>
            <w:rFonts w:ascii="Arial" w:hAnsi="Arial" w:cs="Arial"/>
            <w:b/>
            <w:bCs/>
            <w:sz w:val="21"/>
            <w:szCs w:val="21"/>
          </w:rPr>
          <w:t>Abissi</w:t>
        </w:r>
        <w:proofErr w:type="spellEnd"/>
      </w:hyperlink>
      <w:r>
        <w:rPr>
          <w:rStyle w:val="author"/>
          <w:rFonts w:ascii="Arial" w:hAnsi="Arial" w:cs="Arial"/>
          <w:color w:val="4A4A4A"/>
          <w:sz w:val="21"/>
          <w:szCs w:val="21"/>
        </w:rPr>
        <w:t>.   Hace 3 días</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 inflación mensual que se registró en noviembre fue la más alta del 2018 hasta ahora, ya que se ubicó en 0,42%.</w:t>
      </w:r>
    </w:p>
    <w:p w:rsidR="00AD19BB" w:rsidRDefault="00AD19BB" w:rsidP="00AD19BB">
      <w:pPr>
        <w:rPr>
          <w:rFonts w:ascii="Arial" w:hAnsi="Arial" w:cs="Arial"/>
          <w:sz w:val="27"/>
          <w:szCs w:val="27"/>
        </w:rPr>
      </w:pPr>
      <w:r>
        <w:rPr>
          <w:rFonts w:ascii="Arial" w:hAnsi="Arial" w:cs="Arial"/>
          <w:noProof/>
          <w:sz w:val="27"/>
          <w:szCs w:val="27"/>
          <w:lang w:eastAsia="es-ES"/>
        </w:rPr>
        <w:drawing>
          <wp:inline distT="0" distB="0" distL="0" distR="0">
            <wp:extent cx="5348748" cy="3562350"/>
            <wp:effectExtent l="0" t="0" r="4445" b="0"/>
            <wp:docPr id="1" name="Imagen 1" descr="El incremento se dio principalmente porque 57% de los productos que integran la canasta de consumo aumentaron de precio, mientras que 34% disminuyeron y 9% mantuvo la variación. Foto: Albert Mar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HNNIFDPBDNBI6YNE7V3TZWIU" descr="El incremento se dio principalmente porque 57% de los productos que integran la canasta de consumo aumentaron de precio, mientras que 34% disminuyeron y 9% mantuvo la variación. Foto: Albert Marí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7477" cy="3574823"/>
                    </a:xfrm>
                    <a:prstGeom prst="rect">
                      <a:avLst/>
                    </a:prstGeom>
                    <a:noFill/>
                    <a:ln>
                      <a:noFill/>
                    </a:ln>
                  </pic:spPr>
                </pic:pic>
              </a:graphicData>
            </a:graphic>
          </wp:inline>
        </w:drawing>
      </w:r>
    </w:p>
    <w:p w:rsidR="00AD19BB" w:rsidRDefault="00AD19BB" w:rsidP="00AD19BB">
      <w:pPr>
        <w:rPr>
          <w:rFonts w:ascii="Times New Roman" w:hAnsi="Times New Roman" w:cs="Times New Roman"/>
          <w:sz w:val="24"/>
          <w:szCs w:val="24"/>
        </w:rPr>
      </w:pPr>
      <w:r>
        <w:rPr>
          <w:rStyle w:val="credit"/>
          <w:rFonts w:ascii="Arial" w:hAnsi="Arial" w:cs="Arial"/>
          <w:color w:val="4A4A4A"/>
          <w:sz w:val="21"/>
          <w:szCs w:val="21"/>
        </w:rPr>
        <w:t xml:space="preserve">El incremento se dio principalmente porque 57% de los productos que integran la canasta </w:t>
      </w:r>
      <w:proofErr w:type="gramStart"/>
      <w:r>
        <w:rPr>
          <w:rStyle w:val="credit"/>
          <w:rFonts w:ascii="Arial" w:hAnsi="Arial" w:cs="Arial"/>
          <w:color w:val="4A4A4A"/>
          <w:sz w:val="21"/>
          <w:szCs w:val="21"/>
        </w:rPr>
        <w:t>de</w:t>
      </w:r>
      <w:proofErr w:type="gramEnd"/>
      <w:r>
        <w:rPr>
          <w:rStyle w:val="credit"/>
          <w:rFonts w:ascii="Arial" w:hAnsi="Arial" w:cs="Arial"/>
          <w:color w:val="4A4A4A"/>
          <w:sz w:val="21"/>
          <w:szCs w:val="21"/>
        </w:rPr>
        <w:t xml:space="preserve"> consumo aumentaron de precio, mientras que 34% disminuyeron y 9% mantuvo la variación. Foto: Albert Marín</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lastRenderedPageBreak/>
        <w:t>La cifra es ligeramente superior a la inflación de enero, la segunda más alta del año.</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En los 11 meses del 2018, el </w:t>
      </w:r>
      <w:proofErr w:type="spellStart"/>
      <w:r>
        <w:rPr>
          <w:rFonts w:ascii="Arial" w:hAnsi="Arial" w:cs="Arial"/>
          <w:color w:val="000000"/>
          <w:sz w:val="27"/>
          <w:szCs w:val="27"/>
        </w:rPr>
        <w:t>macroprecio</w:t>
      </w:r>
      <w:proofErr w:type="spellEnd"/>
      <w:r>
        <w:rPr>
          <w:rFonts w:ascii="Arial" w:hAnsi="Arial" w:cs="Arial"/>
          <w:color w:val="000000"/>
          <w:sz w:val="27"/>
          <w:szCs w:val="27"/>
        </w:rPr>
        <w:t xml:space="preserve"> determinado por el Índice de Precios al Consumidor, calculado por el Instituto Nacional de Estadística y Censos (INEC), acumuló una inflación de 1,81%.</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Con respecto al mismo mes del año previo, el incremento es de 2,29%.</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nivel de la inflación sigue estando dentro del rango meta que estableció el Banco Central, entre 2% y 3%.</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Según el Comentario a la Economía Nacional a noviembre, publicado por el Banco Central, el hecho de que la inflación se mantenga dentro del rango meta y la inflación subyacente muestre una desaceleración de 1,9% interanual, responde a la desaceleración que ha tenido la demanda interna y la actividad económica.</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Por otra parte, la autoridad monetaria destacó que han existido presiones particulares al alza, como el incremento en el tipo de cambio que ha generado un aumento en las expectativas de variación cambiaria y que ha acelerado las expectativas inflacionarias.</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Ante los indicios de aceleración de la inflación, el 31 de octubre la Junta Directiva del Central dispuso aumentar </w:t>
      </w:r>
      <w:proofErr w:type="gramStart"/>
      <w:r>
        <w:rPr>
          <w:rFonts w:ascii="Arial" w:hAnsi="Arial" w:cs="Arial"/>
          <w:color w:val="000000"/>
          <w:sz w:val="27"/>
          <w:szCs w:val="27"/>
        </w:rPr>
        <w:t>la tasas</w:t>
      </w:r>
      <w:proofErr w:type="gramEnd"/>
      <w:r>
        <w:rPr>
          <w:rFonts w:ascii="Arial" w:hAnsi="Arial" w:cs="Arial"/>
          <w:color w:val="000000"/>
          <w:sz w:val="27"/>
          <w:szCs w:val="27"/>
        </w:rPr>
        <w:t xml:space="preserve"> de política monetaria en 25 puntos base, para ubicarla en 5,25%.</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incremento se dio principalmente porque 57% de los productos que integran la canasta de consumo aumentaron de precio, mientras que 34% disminuyeron.</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lastRenderedPageBreak/>
        <w:t>Entre los productos que tuvieron más incrementos de precio están los boletos aéreos, los paquetes turísticos, el plátano, la cebolla, la papa y las llantas.</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Por lo contrario, los que bajaron fueron la sandía, los servicios de Internet, las mezclas para bebidas y la pizza.</w:t>
      </w:r>
    </w:p>
    <w:p w:rsid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Las actividades de entretenimiento y cultura y el transporte fueron las que aportaron más a la variación de la inflación en este mes del año.</w:t>
      </w:r>
    </w:p>
    <w:p w:rsidR="00AD19BB" w:rsidRPr="00AD19BB" w:rsidRDefault="00AD19BB" w:rsidP="00AD19BB">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 variación porcentual de noviembre es la más alta de ese mes de los últimos cuatro años.</w:t>
      </w:r>
    </w:p>
    <w:sectPr w:rsidR="00AD19BB" w:rsidRPr="00AD19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BB"/>
    <w:rsid w:val="002F1ABE"/>
    <w:rsid w:val="00744CFE"/>
    <w:rsid w:val="00A9670F"/>
    <w:rsid w:val="00AD1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17E31-7099-462E-89CF-F821FC92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19BB"/>
    <w:rPr>
      <w:color w:val="0563C1" w:themeColor="hyperlink"/>
      <w:u w:val="single"/>
    </w:rPr>
  </w:style>
  <w:style w:type="paragraph" w:customStyle="1" w:styleId="subheadline">
    <w:name w:val="subheadline"/>
    <w:basedOn w:val="Normal"/>
    <w:rsid w:val="00AD19B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AD19BB"/>
  </w:style>
  <w:style w:type="paragraph" w:customStyle="1" w:styleId="element">
    <w:name w:val="element"/>
    <w:basedOn w:val="Normal"/>
    <w:rsid w:val="00AD19B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redit">
    <w:name w:val="credit"/>
    <w:basedOn w:val="Fuentedeprrafopredeter"/>
    <w:rsid w:val="00AD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754963">
      <w:bodyDiv w:val="1"/>
      <w:marLeft w:val="0"/>
      <w:marRight w:val="0"/>
      <w:marTop w:val="0"/>
      <w:marBottom w:val="0"/>
      <w:divBdr>
        <w:top w:val="none" w:sz="0" w:space="0" w:color="auto"/>
        <w:left w:val="none" w:sz="0" w:space="0" w:color="auto"/>
        <w:bottom w:val="none" w:sz="0" w:space="0" w:color="auto"/>
        <w:right w:val="none" w:sz="0" w:space="0" w:color="auto"/>
      </w:divBdr>
      <w:divsChild>
        <w:div w:id="518812562">
          <w:marLeft w:val="0"/>
          <w:marRight w:val="0"/>
          <w:marTop w:val="0"/>
          <w:marBottom w:val="0"/>
          <w:divBdr>
            <w:top w:val="none" w:sz="0" w:space="0" w:color="auto"/>
            <w:left w:val="none" w:sz="0" w:space="0" w:color="auto"/>
            <w:bottom w:val="none" w:sz="0" w:space="0" w:color="auto"/>
            <w:right w:val="none" w:sz="0" w:space="0" w:color="auto"/>
          </w:divBdr>
          <w:divsChild>
            <w:div w:id="824857069">
              <w:marLeft w:val="0"/>
              <w:marRight w:val="0"/>
              <w:marTop w:val="0"/>
              <w:marBottom w:val="0"/>
              <w:divBdr>
                <w:top w:val="none" w:sz="0" w:space="0" w:color="auto"/>
                <w:left w:val="none" w:sz="0" w:space="0" w:color="auto"/>
                <w:bottom w:val="none" w:sz="0" w:space="0" w:color="auto"/>
                <w:right w:val="none" w:sz="0" w:space="0" w:color="auto"/>
              </w:divBdr>
              <w:divsChild>
                <w:div w:id="1780877514">
                  <w:marLeft w:val="-225"/>
                  <w:marRight w:val="-225"/>
                  <w:marTop w:val="0"/>
                  <w:marBottom w:val="0"/>
                  <w:divBdr>
                    <w:top w:val="none" w:sz="0" w:space="0" w:color="auto"/>
                    <w:left w:val="none" w:sz="0" w:space="0" w:color="auto"/>
                    <w:bottom w:val="none" w:sz="0" w:space="0" w:color="auto"/>
                    <w:right w:val="none" w:sz="0" w:space="0" w:color="auto"/>
                  </w:divBdr>
                  <w:divsChild>
                    <w:div w:id="566569823">
                      <w:marLeft w:val="0"/>
                      <w:marRight w:val="0"/>
                      <w:marTop w:val="300"/>
                      <w:marBottom w:val="0"/>
                      <w:divBdr>
                        <w:top w:val="none" w:sz="0" w:space="0" w:color="auto"/>
                        <w:left w:val="none" w:sz="0" w:space="0" w:color="auto"/>
                        <w:bottom w:val="none" w:sz="0" w:space="0" w:color="auto"/>
                        <w:right w:val="none" w:sz="0" w:space="0" w:color="auto"/>
                      </w:divBdr>
                    </w:div>
                    <w:div w:id="1755853310">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765541286">
          <w:marLeft w:val="0"/>
          <w:marRight w:val="0"/>
          <w:marTop w:val="0"/>
          <w:marBottom w:val="0"/>
          <w:divBdr>
            <w:top w:val="none" w:sz="0" w:space="0" w:color="auto"/>
            <w:left w:val="none" w:sz="0" w:space="0" w:color="auto"/>
            <w:bottom w:val="none" w:sz="0" w:space="0" w:color="auto"/>
            <w:right w:val="none" w:sz="0" w:space="0" w:color="auto"/>
          </w:divBdr>
          <w:divsChild>
            <w:div w:id="1512992757">
              <w:marLeft w:val="0"/>
              <w:marRight w:val="0"/>
              <w:marTop w:val="0"/>
              <w:marBottom w:val="0"/>
              <w:divBdr>
                <w:top w:val="none" w:sz="0" w:space="0" w:color="auto"/>
                <w:left w:val="none" w:sz="0" w:space="0" w:color="auto"/>
                <w:bottom w:val="none" w:sz="0" w:space="0" w:color="auto"/>
                <w:right w:val="none" w:sz="0" w:space="0" w:color="auto"/>
              </w:divBdr>
              <w:divsChild>
                <w:div w:id="1537737500">
                  <w:marLeft w:val="0"/>
                  <w:marRight w:val="0"/>
                  <w:marTop w:val="0"/>
                  <w:marBottom w:val="300"/>
                  <w:divBdr>
                    <w:top w:val="none" w:sz="0" w:space="0" w:color="auto"/>
                    <w:left w:val="none" w:sz="0" w:space="0" w:color="auto"/>
                    <w:bottom w:val="none" w:sz="0" w:space="0" w:color="auto"/>
                    <w:right w:val="none" w:sz="0" w:space="0" w:color="auto"/>
                  </w:divBdr>
                  <w:divsChild>
                    <w:div w:id="1762290061">
                      <w:marLeft w:val="0"/>
                      <w:marRight w:val="0"/>
                      <w:marTop w:val="0"/>
                      <w:marBottom w:val="0"/>
                      <w:divBdr>
                        <w:top w:val="none" w:sz="0" w:space="0" w:color="auto"/>
                        <w:left w:val="none" w:sz="0" w:space="0" w:color="auto"/>
                        <w:bottom w:val="none" w:sz="0" w:space="0" w:color="auto"/>
                        <w:right w:val="none" w:sz="0" w:space="0" w:color="auto"/>
                      </w:divBdr>
                      <w:divsChild>
                        <w:div w:id="1374382162">
                          <w:marLeft w:val="-225"/>
                          <w:marRight w:val="-225"/>
                          <w:marTop w:val="0"/>
                          <w:marBottom w:val="0"/>
                          <w:divBdr>
                            <w:top w:val="none" w:sz="0" w:space="0" w:color="auto"/>
                            <w:left w:val="none" w:sz="0" w:space="0" w:color="auto"/>
                            <w:bottom w:val="none" w:sz="0" w:space="0" w:color="auto"/>
                            <w:right w:val="none" w:sz="0" w:space="0" w:color="auto"/>
                          </w:divBdr>
                          <w:divsChild>
                            <w:div w:id="1636639572">
                              <w:marLeft w:val="0"/>
                              <w:marRight w:val="0"/>
                              <w:marTop w:val="0"/>
                              <w:marBottom w:val="0"/>
                              <w:divBdr>
                                <w:top w:val="none" w:sz="0" w:space="0" w:color="auto"/>
                                <w:left w:val="none" w:sz="0" w:space="0" w:color="auto"/>
                                <w:bottom w:val="none" w:sz="0" w:space="0" w:color="auto"/>
                                <w:right w:val="none" w:sz="0" w:space="0" w:color="auto"/>
                              </w:divBdr>
                            </w:div>
                          </w:divsChild>
                        </w:div>
                        <w:div w:id="1507011513">
                          <w:marLeft w:val="-225"/>
                          <w:marRight w:val="-225"/>
                          <w:marTop w:val="0"/>
                          <w:marBottom w:val="0"/>
                          <w:divBdr>
                            <w:top w:val="none" w:sz="0" w:space="0" w:color="auto"/>
                            <w:left w:val="none" w:sz="0" w:space="0" w:color="auto"/>
                            <w:bottom w:val="none" w:sz="0" w:space="0" w:color="auto"/>
                            <w:right w:val="none" w:sz="0" w:space="0" w:color="auto"/>
                          </w:divBdr>
                          <w:divsChild>
                            <w:div w:id="1785465369">
                              <w:marLeft w:val="0"/>
                              <w:marRight w:val="0"/>
                              <w:marTop w:val="0"/>
                              <w:marBottom w:val="75"/>
                              <w:divBdr>
                                <w:top w:val="none" w:sz="0" w:space="0" w:color="auto"/>
                                <w:left w:val="none" w:sz="0" w:space="0" w:color="auto"/>
                                <w:bottom w:val="none" w:sz="0" w:space="0" w:color="auto"/>
                                <w:right w:val="none" w:sz="0" w:space="0" w:color="auto"/>
                              </w:divBdr>
                              <w:divsChild>
                                <w:div w:id="8929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1367">
                          <w:marLeft w:val="-225"/>
                          <w:marRight w:val="-225"/>
                          <w:marTop w:val="0"/>
                          <w:marBottom w:val="0"/>
                          <w:divBdr>
                            <w:top w:val="none" w:sz="0" w:space="0" w:color="auto"/>
                            <w:left w:val="none" w:sz="0" w:space="0" w:color="auto"/>
                            <w:bottom w:val="none" w:sz="0" w:space="0" w:color="auto"/>
                            <w:right w:val="none" w:sz="0" w:space="0" w:color="auto"/>
                          </w:divBdr>
                          <w:divsChild>
                            <w:div w:id="1997416845">
                              <w:marLeft w:val="0"/>
                              <w:marRight w:val="0"/>
                              <w:marTop w:val="0"/>
                              <w:marBottom w:val="0"/>
                              <w:divBdr>
                                <w:top w:val="none" w:sz="0" w:space="0" w:color="auto"/>
                                <w:left w:val="none" w:sz="0" w:space="0" w:color="auto"/>
                                <w:bottom w:val="none" w:sz="0" w:space="0" w:color="auto"/>
                                <w:right w:val="none" w:sz="0" w:space="0" w:color="auto"/>
                              </w:divBdr>
                            </w:div>
                          </w:divsChild>
                        </w:div>
                        <w:div w:id="851383006">
                          <w:marLeft w:val="-225"/>
                          <w:marRight w:val="-225"/>
                          <w:marTop w:val="0"/>
                          <w:marBottom w:val="0"/>
                          <w:divBdr>
                            <w:top w:val="none" w:sz="0" w:space="0" w:color="auto"/>
                            <w:left w:val="none" w:sz="0" w:space="0" w:color="auto"/>
                            <w:bottom w:val="none" w:sz="0" w:space="0" w:color="auto"/>
                            <w:right w:val="none" w:sz="0" w:space="0" w:color="auto"/>
                          </w:divBdr>
                          <w:divsChild>
                            <w:div w:id="621111515">
                              <w:marLeft w:val="0"/>
                              <w:marRight w:val="0"/>
                              <w:marTop w:val="0"/>
                              <w:marBottom w:val="0"/>
                              <w:divBdr>
                                <w:top w:val="none" w:sz="0" w:space="0" w:color="auto"/>
                                <w:left w:val="none" w:sz="0" w:space="0" w:color="auto"/>
                                <w:bottom w:val="none" w:sz="0" w:space="0" w:color="auto"/>
                                <w:right w:val="none" w:sz="0" w:space="0" w:color="auto"/>
                              </w:divBdr>
                            </w:div>
                          </w:divsChild>
                        </w:div>
                        <w:div w:id="384261964">
                          <w:marLeft w:val="-225"/>
                          <w:marRight w:val="-225"/>
                          <w:marTop w:val="0"/>
                          <w:marBottom w:val="0"/>
                          <w:divBdr>
                            <w:top w:val="none" w:sz="0" w:space="0" w:color="auto"/>
                            <w:left w:val="none" w:sz="0" w:space="0" w:color="auto"/>
                            <w:bottom w:val="none" w:sz="0" w:space="0" w:color="auto"/>
                            <w:right w:val="none" w:sz="0" w:space="0" w:color="auto"/>
                          </w:divBdr>
                          <w:divsChild>
                            <w:div w:id="1820727555">
                              <w:marLeft w:val="0"/>
                              <w:marRight w:val="0"/>
                              <w:marTop w:val="0"/>
                              <w:marBottom w:val="0"/>
                              <w:divBdr>
                                <w:top w:val="none" w:sz="0" w:space="0" w:color="auto"/>
                                <w:left w:val="none" w:sz="0" w:space="0" w:color="auto"/>
                                <w:bottom w:val="none" w:sz="0" w:space="0" w:color="auto"/>
                                <w:right w:val="none" w:sz="0" w:space="0" w:color="auto"/>
                              </w:divBdr>
                            </w:div>
                          </w:divsChild>
                        </w:div>
                        <w:div w:id="413939844">
                          <w:marLeft w:val="-225"/>
                          <w:marRight w:val="-225"/>
                          <w:marTop w:val="0"/>
                          <w:marBottom w:val="0"/>
                          <w:divBdr>
                            <w:top w:val="none" w:sz="0" w:space="0" w:color="auto"/>
                            <w:left w:val="none" w:sz="0" w:space="0" w:color="auto"/>
                            <w:bottom w:val="none" w:sz="0" w:space="0" w:color="auto"/>
                            <w:right w:val="none" w:sz="0" w:space="0" w:color="auto"/>
                          </w:divBdr>
                          <w:divsChild>
                            <w:div w:id="2073430771">
                              <w:marLeft w:val="0"/>
                              <w:marRight w:val="0"/>
                              <w:marTop w:val="0"/>
                              <w:marBottom w:val="0"/>
                              <w:divBdr>
                                <w:top w:val="none" w:sz="0" w:space="0" w:color="auto"/>
                                <w:left w:val="none" w:sz="0" w:space="0" w:color="auto"/>
                                <w:bottom w:val="none" w:sz="0" w:space="0" w:color="auto"/>
                                <w:right w:val="none" w:sz="0" w:space="0" w:color="auto"/>
                              </w:divBdr>
                            </w:div>
                          </w:divsChild>
                        </w:div>
                        <w:div w:id="1972512665">
                          <w:marLeft w:val="-225"/>
                          <w:marRight w:val="-225"/>
                          <w:marTop w:val="0"/>
                          <w:marBottom w:val="0"/>
                          <w:divBdr>
                            <w:top w:val="none" w:sz="0" w:space="0" w:color="auto"/>
                            <w:left w:val="none" w:sz="0" w:space="0" w:color="auto"/>
                            <w:bottom w:val="none" w:sz="0" w:space="0" w:color="auto"/>
                            <w:right w:val="none" w:sz="0" w:space="0" w:color="auto"/>
                          </w:divBdr>
                          <w:divsChild>
                            <w:div w:id="1088621025">
                              <w:marLeft w:val="0"/>
                              <w:marRight w:val="0"/>
                              <w:marTop w:val="0"/>
                              <w:marBottom w:val="0"/>
                              <w:divBdr>
                                <w:top w:val="none" w:sz="0" w:space="0" w:color="auto"/>
                                <w:left w:val="none" w:sz="0" w:space="0" w:color="auto"/>
                                <w:bottom w:val="none" w:sz="0" w:space="0" w:color="auto"/>
                                <w:right w:val="none" w:sz="0" w:space="0" w:color="auto"/>
                              </w:divBdr>
                            </w:div>
                          </w:divsChild>
                        </w:div>
                        <w:div w:id="1294367345">
                          <w:marLeft w:val="-225"/>
                          <w:marRight w:val="-225"/>
                          <w:marTop w:val="0"/>
                          <w:marBottom w:val="0"/>
                          <w:divBdr>
                            <w:top w:val="none" w:sz="0" w:space="0" w:color="auto"/>
                            <w:left w:val="none" w:sz="0" w:space="0" w:color="auto"/>
                            <w:bottom w:val="none" w:sz="0" w:space="0" w:color="auto"/>
                            <w:right w:val="none" w:sz="0" w:space="0" w:color="auto"/>
                          </w:divBdr>
                          <w:divsChild>
                            <w:div w:id="814370833">
                              <w:marLeft w:val="0"/>
                              <w:marRight w:val="0"/>
                              <w:marTop w:val="0"/>
                              <w:marBottom w:val="0"/>
                              <w:divBdr>
                                <w:top w:val="none" w:sz="0" w:space="0" w:color="auto"/>
                                <w:left w:val="none" w:sz="0" w:space="0" w:color="auto"/>
                                <w:bottom w:val="none" w:sz="0" w:space="0" w:color="auto"/>
                                <w:right w:val="none" w:sz="0" w:space="0" w:color="auto"/>
                              </w:divBdr>
                            </w:div>
                          </w:divsChild>
                        </w:div>
                        <w:div w:id="112753074">
                          <w:marLeft w:val="-225"/>
                          <w:marRight w:val="-225"/>
                          <w:marTop w:val="0"/>
                          <w:marBottom w:val="0"/>
                          <w:divBdr>
                            <w:top w:val="none" w:sz="0" w:space="0" w:color="auto"/>
                            <w:left w:val="none" w:sz="0" w:space="0" w:color="auto"/>
                            <w:bottom w:val="none" w:sz="0" w:space="0" w:color="auto"/>
                            <w:right w:val="none" w:sz="0" w:space="0" w:color="auto"/>
                          </w:divBdr>
                          <w:divsChild>
                            <w:div w:id="2002851184">
                              <w:marLeft w:val="0"/>
                              <w:marRight w:val="0"/>
                              <w:marTop w:val="0"/>
                              <w:marBottom w:val="0"/>
                              <w:divBdr>
                                <w:top w:val="none" w:sz="0" w:space="0" w:color="auto"/>
                                <w:left w:val="none" w:sz="0" w:space="0" w:color="auto"/>
                                <w:bottom w:val="none" w:sz="0" w:space="0" w:color="auto"/>
                                <w:right w:val="none" w:sz="0" w:space="0" w:color="auto"/>
                              </w:divBdr>
                            </w:div>
                          </w:divsChild>
                        </w:div>
                        <w:div w:id="1274479032">
                          <w:marLeft w:val="-225"/>
                          <w:marRight w:val="-225"/>
                          <w:marTop w:val="0"/>
                          <w:marBottom w:val="0"/>
                          <w:divBdr>
                            <w:top w:val="none" w:sz="0" w:space="0" w:color="auto"/>
                            <w:left w:val="none" w:sz="0" w:space="0" w:color="auto"/>
                            <w:bottom w:val="none" w:sz="0" w:space="0" w:color="auto"/>
                            <w:right w:val="none" w:sz="0" w:space="0" w:color="auto"/>
                          </w:divBdr>
                          <w:divsChild>
                            <w:div w:id="1464227571">
                              <w:marLeft w:val="0"/>
                              <w:marRight w:val="0"/>
                              <w:marTop w:val="0"/>
                              <w:marBottom w:val="0"/>
                              <w:divBdr>
                                <w:top w:val="none" w:sz="0" w:space="0" w:color="auto"/>
                                <w:left w:val="none" w:sz="0" w:space="0" w:color="auto"/>
                                <w:bottom w:val="none" w:sz="0" w:space="0" w:color="auto"/>
                                <w:right w:val="none" w:sz="0" w:space="0" w:color="auto"/>
                              </w:divBdr>
                            </w:div>
                          </w:divsChild>
                        </w:div>
                        <w:div w:id="384987268">
                          <w:marLeft w:val="-225"/>
                          <w:marRight w:val="-225"/>
                          <w:marTop w:val="0"/>
                          <w:marBottom w:val="0"/>
                          <w:divBdr>
                            <w:top w:val="none" w:sz="0" w:space="0" w:color="auto"/>
                            <w:left w:val="none" w:sz="0" w:space="0" w:color="auto"/>
                            <w:bottom w:val="none" w:sz="0" w:space="0" w:color="auto"/>
                            <w:right w:val="none" w:sz="0" w:space="0" w:color="auto"/>
                          </w:divBdr>
                          <w:divsChild>
                            <w:div w:id="1812404013">
                              <w:marLeft w:val="0"/>
                              <w:marRight w:val="0"/>
                              <w:marTop w:val="0"/>
                              <w:marBottom w:val="0"/>
                              <w:divBdr>
                                <w:top w:val="none" w:sz="0" w:space="0" w:color="auto"/>
                                <w:left w:val="none" w:sz="0" w:space="0" w:color="auto"/>
                                <w:bottom w:val="none" w:sz="0" w:space="0" w:color="auto"/>
                                <w:right w:val="none" w:sz="0" w:space="0" w:color="auto"/>
                              </w:divBdr>
                            </w:div>
                          </w:divsChild>
                        </w:div>
                        <w:div w:id="1933660512">
                          <w:marLeft w:val="-225"/>
                          <w:marRight w:val="-225"/>
                          <w:marTop w:val="0"/>
                          <w:marBottom w:val="0"/>
                          <w:divBdr>
                            <w:top w:val="none" w:sz="0" w:space="0" w:color="auto"/>
                            <w:left w:val="none" w:sz="0" w:space="0" w:color="auto"/>
                            <w:bottom w:val="none" w:sz="0" w:space="0" w:color="auto"/>
                            <w:right w:val="none" w:sz="0" w:space="0" w:color="auto"/>
                          </w:divBdr>
                          <w:divsChild>
                            <w:div w:id="471946416">
                              <w:marLeft w:val="0"/>
                              <w:marRight w:val="0"/>
                              <w:marTop w:val="0"/>
                              <w:marBottom w:val="0"/>
                              <w:divBdr>
                                <w:top w:val="none" w:sz="0" w:space="0" w:color="auto"/>
                                <w:left w:val="none" w:sz="0" w:space="0" w:color="auto"/>
                                <w:bottom w:val="none" w:sz="0" w:space="0" w:color="auto"/>
                                <w:right w:val="none" w:sz="0" w:space="0" w:color="auto"/>
                              </w:divBdr>
                            </w:div>
                          </w:divsChild>
                        </w:div>
                        <w:div w:id="81801051">
                          <w:marLeft w:val="-225"/>
                          <w:marRight w:val="-225"/>
                          <w:marTop w:val="0"/>
                          <w:marBottom w:val="0"/>
                          <w:divBdr>
                            <w:top w:val="none" w:sz="0" w:space="0" w:color="auto"/>
                            <w:left w:val="none" w:sz="0" w:space="0" w:color="auto"/>
                            <w:bottom w:val="none" w:sz="0" w:space="0" w:color="auto"/>
                            <w:right w:val="none" w:sz="0" w:space="0" w:color="auto"/>
                          </w:divBdr>
                          <w:divsChild>
                            <w:div w:id="1562987205">
                              <w:marLeft w:val="0"/>
                              <w:marRight w:val="0"/>
                              <w:marTop w:val="0"/>
                              <w:marBottom w:val="0"/>
                              <w:divBdr>
                                <w:top w:val="none" w:sz="0" w:space="0" w:color="auto"/>
                                <w:left w:val="none" w:sz="0" w:space="0" w:color="auto"/>
                                <w:bottom w:val="none" w:sz="0" w:space="0" w:color="auto"/>
                                <w:right w:val="none" w:sz="0" w:space="0" w:color="auto"/>
                              </w:divBdr>
                            </w:div>
                          </w:divsChild>
                        </w:div>
                        <w:div w:id="339311534">
                          <w:marLeft w:val="-225"/>
                          <w:marRight w:val="-225"/>
                          <w:marTop w:val="0"/>
                          <w:marBottom w:val="0"/>
                          <w:divBdr>
                            <w:top w:val="none" w:sz="0" w:space="0" w:color="auto"/>
                            <w:left w:val="none" w:sz="0" w:space="0" w:color="auto"/>
                            <w:bottom w:val="none" w:sz="0" w:space="0" w:color="auto"/>
                            <w:right w:val="none" w:sz="0" w:space="0" w:color="auto"/>
                          </w:divBdr>
                          <w:divsChild>
                            <w:div w:id="14031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financierocr.com/autores/maria-esther-abissi/" TargetMode="External"/><Relationship Id="rId5" Type="http://schemas.openxmlformats.org/officeDocument/2006/relationships/hyperlink" Target="https://www.elfinancierocr.com/finanzas/" TargetMode="External"/><Relationship Id="rId4" Type="http://schemas.openxmlformats.org/officeDocument/2006/relationships/hyperlink" Target="https://www.elfinancierocr.com/finanzas/inflacion-mensual-de-noviembre-es-la-mas-alta-del/4KNGXNBARZDPTNY6TKK7LV5YPY/story/"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2342</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2018-12-10T19:35:00Z</dcterms:created>
  <dcterms:modified xsi:type="dcterms:W3CDTF">2018-12-10T19:36:00Z</dcterms:modified>
</cp:coreProperties>
</file>