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ED1" w:rsidRDefault="003E44D5">
      <w:pPr>
        <w:rPr>
          <w:lang w:val="en-US"/>
        </w:rPr>
      </w:pPr>
      <w:r w:rsidRPr="003E44D5">
        <w:rPr>
          <w:lang w:val="en-US"/>
        </w:rPr>
        <w:t xml:space="preserve">Enlace: </w:t>
      </w:r>
      <w:hyperlink r:id="rId5" w:history="1">
        <w:r w:rsidRPr="00580F0D">
          <w:rPr>
            <w:rStyle w:val="Hipervnculo"/>
            <w:lang w:val="en-US"/>
          </w:rPr>
          <w:t>http://www.prensalibre.cr/pl/nacional/38302-central-forzara-baja-en-la-inflacion.html</w:t>
        </w:r>
      </w:hyperlink>
    </w:p>
    <w:p w:rsidR="003E44D5" w:rsidRPr="003E44D5" w:rsidRDefault="003E44D5">
      <w:pPr>
        <w:rPr>
          <w:lang w:val="en-US"/>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3"/>
        <w:gridCol w:w="300"/>
        <w:gridCol w:w="315"/>
      </w:tblGrid>
      <w:tr w:rsidR="003E44D5" w:rsidRPr="003E44D5" w:rsidTr="003E44D5">
        <w:trPr>
          <w:trHeight w:val="315"/>
          <w:tblCellSpacing w:w="15" w:type="dxa"/>
        </w:trPr>
        <w:tc>
          <w:tcPr>
            <w:tcW w:w="5000" w:type="pct"/>
            <w:tcBorders>
              <w:bottom w:val="single" w:sz="6" w:space="0" w:color="000000"/>
            </w:tcBorders>
            <w:vAlign w:val="center"/>
            <w:hideMark/>
          </w:tcPr>
          <w:p w:rsidR="003E44D5" w:rsidRPr="003E44D5" w:rsidRDefault="003E44D5" w:rsidP="003E44D5">
            <w:pPr>
              <w:spacing w:after="0" w:line="240" w:lineRule="auto"/>
              <w:rPr>
                <w:rFonts w:ascii="Arial" w:eastAsia="Times New Roman" w:hAnsi="Arial" w:cs="Arial"/>
                <w:color w:val="000000"/>
                <w:sz w:val="32"/>
                <w:szCs w:val="32"/>
                <w:lang w:eastAsia="es-CR"/>
              </w:rPr>
            </w:pPr>
            <w:r w:rsidRPr="003E44D5">
              <w:rPr>
                <w:rFonts w:ascii="Arial" w:eastAsia="Times New Roman" w:hAnsi="Arial" w:cs="Arial"/>
                <w:color w:val="000000"/>
                <w:sz w:val="32"/>
                <w:szCs w:val="32"/>
                <w:lang w:eastAsia="es-CR"/>
              </w:rPr>
              <w:t xml:space="preserve">Central forzará baja en la inflación </w:t>
            </w:r>
          </w:p>
        </w:tc>
        <w:tc>
          <w:tcPr>
            <w:tcW w:w="5000" w:type="pct"/>
            <w:vAlign w:val="center"/>
            <w:hideMark/>
          </w:tcPr>
          <w:p w:rsidR="003E44D5" w:rsidRPr="003E44D5" w:rsidRDefault="003E44D5" w:rsidP="003E44D5">
            <w:pPr>
              <w:spacing w:after="0" w:line="240" w:lineRule="auto"/>
              <w:jc w:val="right"/>
              <w:rPr>
                <w:rFonts w:ascii="Arial" w:eastAsia="Times New Roman" w:hAnsi="Arial" w:cs="Arial"/>
                <w:color w:val="000000"/>
                <w:sz w:val="18"/>
                <w:szCs w:val="18"/>
                <w:lang w:eastAsia="es-CR"/>
              </w:rPr>
            </w:pPr>
            <w:r w:rsidRPr="003E44D5">
              <w:rPr>
                <w:rFonts w:ascii="Arial" w:eastAsia="Times New Roman" w:hAnsi="Arial" w:cs="Arial"/>
                <w:noProof/>
                <w:color w:val="5991C9"/>
                <w:sz w:val="18"/>
                <w:szCs w:val="18"/>
                <w:lang w:eastAsia="es-CR"/>
              </w:rPr>
              <w:drawing>
                <wp:inline distT="0" distB="0" distL="0" distR="0" wp14:anchorId="599C1807" wp14:editId="54529F81">
                  <wp:extent cx="152400" cy="152400"/>
                  <wp:effectExtent l="0" t="0" r="0" b="0"/>
                  <wp:docPr id="1" name="Imagen 1" descr="Imprimir">
                    <a:hlinkClick xmlns:a="http://schemas.openxmlformats.org/drawingml/2006/main" r:id="rId6" tooltip="Imprimir"/>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rimir">
                            <a:hlinkClick r:id="rId6" tooltip="Imprimir"/>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5000" w:type="pct"/>
            <w:vAlign w:val="center"/>
            <w:hideMark/>
          </w:tcPr>
          <w:p w:rsidR="003E44D5" w:rsidRPr="003E44D5" w:rsidRDefault="003E44D5" w:rsidP="003E44D5">
            <w:pPr>
              <w:spacing w:after="0" w:line="240" w:lineRule="auto"/>
              <w:jc w:val="right"/>
              <w:rPr>
                <w:rFonts w:ascii="Arial" w:eastAsia="Times New Roman" w:hAnsi="Arial" w:cs="Arial"/>
                <w:color w:val="000000"/>
                <w:sz w:val="18"/>
                <w:szCs w:val="18"/>
                <w:lang w:eastAsia="es-CR"/>
              </w:rPr>
            </w:pPr>
            <w:r w:rsidRPr="003E44D5">
              <w:rPr>
                <w:rFonts w:ascii="Arial" w:eastAsia="Times New Roman" w:hAnsi="Arial" w:cs="Arial"/>
                <w:noProof/>
                <w:color w:val="5991C9"/>
                <w:sz w:val="18"/>
                <w:szCs w:val="18"/>
                <w:lang w:eastAsia="es-CR"/>
              </w:rPr>
              <w:drawing>
                <wp:inline distT="0" distB="0" distL="0" distR="0" wp14:anchorId="14DF762F" wp14:editId="5BC5968E">
                  <wp:extent cx="152400" cy="152400"/>
                  <wp:effectExtent l="0" t="0" r="0" b="0"/>
                  <wp:docPr id="2" name="Imagen 2" descr="Correo electrónico">
                    <a:hlinkClick xmlns:a="http://schemas.openxmlformats.org/drawingml/2006/main" r:id="rId8" tooltip="&quot;Correo electrónic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reo electrónico">
                            <a:hlinkClick r:id="rId8" tooltip="&quot;Correo electrónico&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3E44D5" w:rsidRPr="003E44D5" w:rsidRDefault="003E44D5" w:rsidP="003E44D5">
      <w:pPr>
        <w:spacing w:after="0" w:line="240" w:lineRule="auto"/>
        <w:jc w:val="both"/>
        <w:rPr>
          <w:rFonts w:ascii="Arial" w:eastAsia="Times New Roman" w:hAnsi="Arial" w:cs="Arial"/>
          <w:vanish/>
          <w:color w:val="000000"/>
          <w:sz w:val="18"/>
          <w:szCs w:val="18"/>
          <w:lang w:eastAsia="es-C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28"/>
      </w:tblGrid>
      <w:tr w:rsidR="003E44D5" w:rsidRPr="003E44D5" w:rsidTr="003E44D5">
        <w:trPr>
          <w:tblCellSpacing w:w="15" w:type="dxa"/>
        </w:trPr>
        <w:tc>
          <w:tcPr>
            <w:tcW w:w="0" w:type="auto"/>
            <w:hideMark/>
          </w:tcPr>
          <w:p w:rsidR="003E44D5" w:rsidRPr="003E44D5" w:rsidRDefault="003E44D5" w:rsidP="003E44D5">
            <w:pPr>
              <w:spacing w:after="0" w:line="240" w:lineRule="auto"/>
              <w:rPr>
                <w:rFonts w:ascii="Arial" w:eastAsia="Times New Roman" w:hAnsi="Arial" w:cs="Arial"/>
                <w:color w:val="000000"/>
                <w:sz w:val="18"/>
                <w:szCs w:val="18"/>
                <w:lang w:eastAsia="es-CR"/>
              </w:rPr>
            </w:pPr>
            <w:r w:rsidRPr="003E44D5">
              <w:rPr>
                <w:rFonts w:ascii="Arial" w:eastAsia="Times New Roman" w:hAnsi="Arial" w:cs="Arial"/>
                <w:color w:val="999999"/>
                <w:sz w:val="18"/>
                <w:szCs w:val="18"/>
                <w:lang w:eastAsia="es-CR"/>
              </w:rPr>
              <w:t xml:space="preserve">Escrito por Tatiana Gutierrez </w:t>
            </w:r>
            <w:proofErr w:type="spellStart"/>
            <w:r w:rsidRPr="003E44D5">
              <w:rPr>
                <w:rFonts w:ascii="Arial" w:eastAsia="Times New Roman" w:hAnsi="Arial" w:cs="Arial"/>
                <w:color w:val="999999"/>
                <w:sz w:val="18"/>
                <w:szCs w:val="18"/>
                <w:lang w:eastAsia="es-CR"/>
              </w:rPr>
              <w:t>Wa-chong</w:t>
            </w:r>
            <w:proofErr w:type="spellEnd"/>
            <w:r w:rsidRPr="003E44D5">
              <w:rPr>
                <w:rFonts w:ascii="Arial" w:eastAsia="Times New Roman" w:hAnsi="Arial" w:cs="Arial"/>
                <w:color w:val="999999"/>
                <w:sz w:val="18"/>
                <w:szCs w:val="18"/>
                <w:lang w:eastAsia="es-CR"/>
              </w:rPr>
              <w:t xml:space="preserve"> </w:t>
            </w:r>
            <w:r w:rsidRPr="003E44D5">
              <w:rPr>
                <w:rFonts w:ascii="Arial" w:eastAsia="Times New Roman" w:hAnsi="Arial" w:cs="Arial"/>
                <w:color w:val="000000"/>
                <w:sz w:val="18"/>
                <w:szCs w:val="18"/>
                <w:lang w:eastAsia="es-CR"/>
              </w:rPr>
              <w:t xml:space="preserve">   </w:t>
            </w:r>
          </w:p>
        </w:tc>
      </w:tr>
      <w:tr w:rsidR="003E44D5" w:rsidRPr="003E44D5" w:rsidTr="003E44D5">
        <w:trPr>
          <w:tblCellSpacing w:w="15" w:type="dxa"/>
        </w:trPr>
        <w:tc>
          <w:tcPr>
            <w:tcW w:w="0" w:type="auto"/>
            <w:hideMark/>
          </w:tcPr>
          <w:p w:rsid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t>• Crecimiento en la producción será casi nulo</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i/>
                <w:iCs/>
                <w:color w:val="000000"/>
                <w:sz w:val="18"/>
                <w:szCs w:val="18"/>
                <w:lang w:eastAsia="es-CR"/>
              </w:rPr>
              <w:t>Bolaños presenta programa monetario para el 2011-2012</w:t>
            </w:r>
          </w:p>
          <w:p w:rsidR="003E44D5" w:rsidRPr="003E44D5" w:rsidRDefault="003E44D5" w:rsidP="003E44D5">
            <w:pPr>
              <w:spacing w:after="0"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 xml:space="preserve">Los integrantes de la Junta Directiva del Banco Central de Costa Rica (BCCR) anunciaron que utilizarán todos los instrumentos monetarios para alcanzar este año una inflación del 5% (+/-1%) y para el 2012 del 4% (+/-1%). Sin embargo, dijeron que el crecimiento en la producción nacional será de 4,3%, superior en apenas 0,1% al reportado durante el 2010. Así se destacó durante la presentación del programa macroeconómico para el 2011-2012. </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El presidente del BCCR, Rodrigo Bolaños, manifestó que los dos objetivos de este año son consolidar la reducción en la inflación observada en los últimos dos años y alcanzar en un mediano plazo tasas de interés similares a las de los principales socios comerciales del país y mantener una estabilidad externa de la moneda en el sentido de que la balanza de pagos sea sostenible en el mediano y largo plazo.</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Para el jefe de la política monetaria, la proyección de crecimiento evidencia que se espera una recuperación lenta y moderada y sobre eso ya se están viendo señales tenues, sobre todo en algunos sectores cuyo crecimiento durante el último cuatrimestre del 2010, según se evidenció en el Índice Mensual de Actividad Económica (IMAE), ya se comenzaba a ver más fortalecido entre los que sobresalen: agro, industria manufacturera, construcción y en alguna medida comercio y restaurantes y hoteles.</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 </w:t>
            </w: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t>Meta ambiciosa</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br/>
              <w:t>Se le consultó a Bolaños, si la meta inflacionaria no era muy ambiciosa tomando en cuenta que el precio del petróleo estaba subiendo, al igual que algunas importaciones, y contestó enfático que no.</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“Es una meta alcanzable y no estamos viendo excesos de demanda con respecto a la oferta actual, además, utilizaremos todos los instrumentos que necesitemos para mantenerla baja”, comentó y no negó que en este caso sean el tipo de cambio y las tasas de interés.</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Sin embargo, sí reconoció que existen muchos riesgos, así como otros de carácter más interno, entre los que se destacan un mayor déficit fiscal y la recuperación del crédito del sector privado por el crecimiento económico de alrededor del 4,5% en el bienio.</w:t>
            </w:r>
          </w:p>
          <w:p w:rsid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Bolaños aseguró que la Junta Directiva del Banco Central aprobó continuar el Programa de Fortalecimiento de las Reservas Internacionales Netas, por un monto de $600 millones, de los cuales, el año pasado, se utilizaron $265 millones y aclaró que en esta oportunidad no se habló nada sobre extender el plazo, ni sobre aumentar el monto.</w:t>
            </w:r>
          </w:p>
          <w:p w:rsid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lastRenderedPageBreak/>
              <w:t>También, dijo que en el corto plazo, el Banco Central de Costa Rica mantendrá el compromiso con los parámetros de la banda cambiaria y en el mediano plazo continuará con la transición gradual y ordenada hacia la flotación cambiaria para cumplir con uno de los prerrequisitos en el proceso de avance hacia las metas de inflación.</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“Yo reconozco que la apreciación cambiaria proviene en buena parte de presiones por las políticas monetarias y expansivas en algunas economías desarrolladas, presiones que pueden tener un carácter transitorio y que ello puede justificar una mayor intervención en el mercado cambiario local.</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“Sin embargo, debe reconocerse que este tipo de intervenciones tienen un costo fiscal y los grados de maniobra tanto del Gobierno como del Banco Central son muy limitados, dado el alto déficit que se enfrenta en esta materia”, comentó.</w:t>
            </w: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pict>
                <v:rect id="_x0000_i1025" style="width:0;height:1.5pt" o:hralign="center" o:hrstd="t" o:hr="t" fillcolor="#a0a0a0" stroked="f"/>
              </w:pict>
            </w: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t>Riesgos para alcanzar la inflación</w:t>
            </w:r>
          </w:p>
          <w:p w:rsidR="003E44D5" w:rsidRPr="003E44D5" w:rsidRDefault="003E44D5" w:rsidP="003E44D5">
            <w:pPr>
              <w:spacing w:before="100" w:beforeAutospacing="1" w:after="100" w:afterAutospacing="1" w:line="240" w:lineRule="auto"/>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 xml:space="preserve">Las autoridades del ente emisor reconocieron que existen un gran número de riesgos que podrían hacer que estas proyecciones no se cumplan entre las que se destacan: </w:t>
            </w:r>
            <w:r w:rsidRPr="003E44D5">
              <w:rPr>
                <w:rFonts w:ascii="Arial" w:eastAsia="Times New Roman" w:hAnsi="Arial" w:cs="Arial"/>
                <w:color w:val="000000"/>
                <w:sz w:val="18"/>
                <w:szCs w:val="18"/>
                <w:lang w:eastAsia="es-CR"/>
              </w:rPr>
              <w:br/>
            </w:r>
            <w:r w:rsidRPr="003E44D5">
              <w:rPr>
                <w:rFonts w:ascii="Arial" w:eastAsia="Times New Roman" w:hAnsi="Arial" w:cs="Arial"/>
                <w:color w:val="000000"/>
                <w:sz w:val="18"/>
                <w:szCs w:val="18"/>
                <w:lang w:eastAsia="es-CR"/>
              </w:rPr>
              <w:br/>
              <w:t>Condiciones externas:</w:t>
            </w:r>
            <w:r w:rsidRPr="003E44D5">
              <w:rPr>
                <w:rFonts w:ascii="Arial" w:eastAsia="Times New Roman" w:hAnsi="Arial" w:cs="Arial"/>
                <w:color w:val="000000"/>
                <w:sz w:val="18"/>
                <w:szCs w:val="18"/>
                <w:lang w:eastAsia="es-CR"/>
              </w:rPr>
              <w:br/>
            </w:r>
            <w:r w:rsidRPr="003E44D5">
              <w:rPr>
                <w:rFonts w:ascii="Arial" w:eastAsia="Times New Roman" w:hAnsi="Arial" w:cs="Arial"/>
                <w:color w:val="000000"/>
                <w:sz w:val="18"/>
                <w:szCs w:val="18"/>
                <w:lang w:eastAsia="es-CR"/>
              </w:rPr>
              <w:br/>
              <w:t>-Una recuperación más lenta en los principales socios comerciales.</w:t>
            </w:r>
            <w:r w:rsidRPr="003E44D5">
              <w:rPr>
                <w:rFonts w:ascii="Arial" w:eastAsia="Times New Roman" w:hAnsi="Arial" w:cs="Arial"/>
                <w:color w:val="000000"/>
                <w:sz w:val="18"/>
                <w:szCs w:val="18"/>
                <w:lang w:eastAsia="es-CR"/>
              </w:rPr>
              <w:br/>
              <w:t>-La tendencia al alza en los precios de los bienes del petróleo (que este caso fue de $94 por barril) y alimentos.</w:t>
            </w:r>
            <w:r w:rsidRPr="003E44D5">
              <w:rPr>
                <w:rFonts w:ascii="Arial" w:eastAsia="Times New Roman" w:hAnsi="Arial" w:cs="Arial"/>
                <w:color w:val="000000"/>
                <w:sz w:val="18"/>
                <w:szCs w:val="18"/>
                <w:lang w:eastAsia="es-CR"/>
              </w:rPr>
              <w:br/>
            </w:r>
            <w:r w:rsidRPr="003E44D5">
              <w:rPr>
                <w:rFonts w:ascii="Arial" w:eastAsia="Times New Roman" w:hAnsi="Arial" w:cs="Arial"/>
                <w:color w:val="000000"/>
                <w:sz w:val="18"/>
                <w:szCs w:val="18"/>
                <w:lang w:eastAsia="es-CR"/>
              </w:rPr>
              <w:br/>
              <w:t>Condiciones internas:</w:t>
            </w:r>
            <w:r w:rsidRPr="003E44D5">
              <w:rPr>
                <w:rFonts w:ascii="Arial" w:eastAsia="Times New Roman" w:hAnsi="Arial" w:cs="Arial"/>
                <w:color w:val="000000"/>
                <w:sz w:val="18"/>
                <w:szCs w:val="18"/>
                <w:lang w:eastAsia="es-CR"/>
              </w:rPr>
              <w:br/>
            </w:r>
            <w:r w:rsidRPr="003E44D5">
              <w:rPr>
                <w:rFonts w:ascii="Arial" w:eastAsia="Times New Roman" w:hAnsi="Arial" w:cs="Arial"/>
                <w:color w:val="000000"/>
                <w:sz w:val="18"/>
                <w:szCs w:val="18"/>
                <w:lang w:eastAsia="es-CR"/>
              </w:rPr>
              <w:br/>
              <w:t>-Presiones por déficit fiscal.</w:t>
            </w:r>
            <w:r w:rsidRPr="003E44D5">
              <w:rPr>
                <w:rFonts w:ascii="Arial" w:eastAsia="Times New Roman" w:hAnsi="Arial" w:cs="Arial"/>
                <w:color w:val="000000"/>
                <w:sz w:val="18"/>
                <w:szCs w:val="18"/>
                <w:lang w:eastAsia="es-CR"/>
              </w:rPr>
              <w:br/>
              <w:t>-Presiones por recuperación del crédito del sector privado debido a un crecimiento económico superior al 4,5%.</w:t>
            </w: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pict>
                <v:rect id="_x0000_i1026" style="width:0;height:1.5pt" o:hralign="center" o:hrstd="t" o:hr="t" fillcolor="#a0a0a0" stroked="f"/>
              </w:pict>
            </w:r>
          </w:p>
          <w:p w:rsidR="003E44D5" w:rsidRPr="003E44D5" w:rsidRDefault="003E44D5" w:rsidP="003E44D5">
            <w:pPr>
              <w:spacing w:before="100" w:beforeAutospacing="1" w:after="100" w:afterAutospacing="1" w:line="240" w:lineRule="auto"/>
              <w:jc w:val="both"/>
              <w:outlineLvl w:val="3"/>
              <w:rPr>
                <w:rFonts w:ascii="Arial" w:eastAsia="Times New Roman" w:hAnsi="Arial" w:cs="Arial"/>
                <w:b/>
                <w:bCs/>
                <w:color w:val="3D8BD9"/>
                <w:sz w:val="23"/>
                <w:szCs w:val="23"/>
                <w:lang w:eastAsia="es-CR"/>
              </w:rPr>
            </w:pPr>
            <w:r w:rsidRPr="003E44D5">
              <w:rPr>
                <w:rFonts w:ascii="Arial" w:eastAsia="Times New Roman" w:hAnsi="Arial" w:cs="Arial"/>
                <w:b/>
                <w:bCs/>
                <w:color w:val="3D8BD9"/>
                <w:sz w:val="23"/>
                <w:szCs w:val="23"/>
                <w:lang w:eastAsia="es-CR"/>
              </w:rPr>
              <w:t>Revisión del Programa Macroeconómico 2010- 2011</w:t>
            </w:r>
          </w:p>
          <w:p w:rsidR="003E44D5" w:rsidRPr="003E44D5" w:rsidRDefault="003E44D5" w:rsidP="003E44D5">
            <w:pPr>
              <w:spacing w:before="100" w:beforeAutospacing="1" w:after="100" w:afterAutospacing="1" w:line="240" w:lineRule="auto"/>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 xml:space="preserve">PIB                                                                      2010        2011    </w:t>
            </w:r>
            <w:r w:rsidRPr="003E44D5">
              <w:rPr>
                <w:rFonts w:ascii="Arial" w:eastAsia="Times New Roman" w:hAnsi="Arial" w:cs="Arial"/>
                <w:color w:val="000000"/>
                <w:sz w:val="18"/>
                <w:szCs w:val="18"/>
                <w:lang w:eastAsia="es-CR"/>
              </w:rPr>
              <w:br/>
              <w:t xml:space="preserve">Real                                                                    4.2%        4,3%    </w:t>
            </w:r>
            <w:r w:rsidRPr="003E44D5">
              <w:rPr>
                <w:rFonts w:ascii="Arial" w:eastAsia="Times New Roman" w:hAnsi="Arial" w:cs="Arial"/>
                <w:color w:val="000000"/>
                <w:sz w:val="18"/>
                <w:szCs w:val="18"/>
                <w:lang w:eastAsia="es-CR"/>
              </w:rPr>
              <w:br/>
              <w:t xml:space="preserve">Nominal                                                               12,3        10,2    </w:t>
            </w:r>
            <w:r w:rsidRPr="003E44D5">
              <w:rPr>
                <w:rFonts w:ascii="Arial" w:eastAsia="Times New Roman" w:hAnsi="Arial" w:cs="Arial"/>
                <w:color w:val="000000"/>
                <w:sz w:val="18"/>
                <w:szCs w:val="18"/>
                <w:lang w:eastAsia="es-CR"/>
              </w:rPr>
              <w:br/>
              <w:t xml:space="preserve">Ingreso Nacional Disponible Bruto Real             3,9%        4,8%        </w:t>
            </w:r>
            <w:r w:rsidRPr="003E44D5">
              <w:rPr>
                <w:rFonts w:ascii="Arial" w:eastAsia="Times New Roman" w:hAnsi="Arial" w:cs="Arial"/>
                <w:color w:val="000000"/>
                <w:sz w:val="18"/>
                <w:szCs w:val="18"/>
                <w:lang w:eastAsia="es-CR"/>
              </w:rPr>
              <w:br/>
              <w:t xml:space="preserve">Inflación IPC                                                       5.8%         4% (+/-1%)        </w:t>
            </w:r>
            <w:r w:rsidRPr="003E44D5">
              <w:rPr>
                <w:rFonts w:ascii="Arial" w:eastAsia="Times New Roman" w:hAnsi="Arial" w:cs="Arial"/>
                <w:color w:val="000000"/>
                <w:sz w:val="18"/>
                <w:szCs w:val="18"/>
                <w:lang w:eastAsia="es-CR"/>
              </w:rPr>
              <w:br/>
              <w:t>Balanza de Pagos</w:t>
            </w:r>
            <w:r w:rsidRPr="003E44D5">
              <w:rPr>
                <w:rFonts w:ascii="Arial" w:eastAsia="Times New Roman" w:hAnsi="Arial" w:cs="Arial"/>
                <w:color w:val="000000"/>
                <w:sz w:val="18"/>
                <w:szCs w:val="18"/>
                <w:lang w:eastAsia="es-CR"/>
              </w:rPr>
              <w:br/>
              <w:t xml:space="preserve">Cuenta Corriente (% PIB)                                    3,6%        -4,2%          </w:t>
            </w:r>
            <w:r w:rsidRPr="003E44D5">
              <w:rPr>
                <w:rFonts w:ascii="Arial" w:eastAsia="Times New Roman" w:hAnsi="Arial" w:cs="Arial"/>
                <w:color w:val="000000"/>
                <w:sz w:val="18"/>
                <w:szCs w:val="18"/>
                <w:lang w:eastAsia="es-CR"/>
              </w:rPr>
              <w:br/>
              <w:t>Cuenta comercial (% PIB)                                  -11.6%        -12.2%</w:t>
            </w:r>
            <w:r w:rsidRPr="003E44D5">
              <w:rPr>
                <w:rFonts w:ascii="Arial" w:eastAsia="Times New Roman" w:hAnsi="Arial" w:cs="Arial"/>
                <w:color w:val="000000"/>
                <w:sz w:val="18"/>
                <w:szCs w:val="18"/>
                <w:lang w:eastAsia="es-CR"/>
              </w:rPr>
              <w:br/>
              <w:t>Cuenta de Capital y financiera (</w:t>
            </w:r>
            <w:proofErr w:type="spellStart"/>
            <w:r w:rsidRPr="003E44D5">
              <w:rPr>
                <w:rFonts w:ascii="Arial" w:eastAsia="Times New Roman" w:hAnsi="Arial" w:cs="Arial"/>
                <w:color w:val="000000"/>
                <w:sz w:val="18"/>
                <w:szCs w:val="18"/>
                <w:lang w:eastAsia="es-CR"/>
              </w:rPr>
              <w:t>mill</w:t>
            </w:r>
            <w:proofErr w:type="spellEnd"/>
            <w:r w:rsidRPr="003E44D5">
              <w:rPr>
                <w:rFonts w:ascii="Arial" w:eastAsia="Times New Roman" w:hAnsi="Arial" w:cs="Arial"/>
                <w:color w:val="000000"/>
                <w:sz w:val="18"/>
                <w:szCs w:val="18"/>
                <w:lang w:eastAsia="es-CR"/>
              </w:rPr>
              <w:t xml:space="preserve"> $)                 1,860        1,963</w:t>
            </w:r>
            <w:r w:rsidRPr="003E44D5">
              <w:rPr>
                <w:rFonts w:ascii="Arial" w:eastAsia="Times New Roman" w:hAnsi="Arial" w:cs="Arial"/>
                <w:color w:val="000000"/>
                <w:sz w:val="18"/>
                <w:szCs w:val="18"/>
                <w:lang w:eastAsia="es-CR"/>
              </w:rPr>
              <w:br/>
              <w:t>Saldo RIN (millones $)                                         4.627        4.930</w:t>
            </w:r>
          </w:p>
        </w:tc>
      </w:tr>
    </w:tbl>
    <w:p w:rsidR="003E44D5" w:rsidRPr="003E44D5" w:rsidRDefault="003E44D5" w:rsidP="003E44D5">
      <w:pPr>
        <w:spacing w:after="0"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lastRenderedPageBreak/>
        <w:t xml:space="preserve">  </w:t>
      </w:r>
    </w:p>
    <w:p w:rsidR="003E44D5" w:rsidRPr="003E44D5" w:rsidRDefault="003E44D5" w:rsidP="003E44D5">
      <w:pPr>
        <w:spacing w:before="100" w:beforeAutospacing="1" w:after="100" w:afterAutospacing="1" w:line="240" w:lineRule="auto"/>
        <w:jc w:val="both"/>
        <w:rPr>
          <w:rFonts w:ascii="Arial" w:eastAsia="Times New Roman" w:hAnsi="Arial" w:cs="Arial"/>
          <w:color w:val="000000"/>
          <w:sz w:val="18"/>
          <w:szCs w:val="18"/>
          <w:lang w:eastAsia="es-CR"/>
        </w:rPr>
      </w:pPr>
      <w:r w:rsidRPr="003E44D5">
        <w:rPr>
          <w:rFonts w:ascii="Arial" w:eastAsia="Times New Roman" w:hAnsi="Arial" w:cs="Arial"/>
          <w:color w:val="000000"/>
          <w:sz w:val="18"/>
          <w:szCs w:val="18"/>
          <w:lang w:eastAsia="es-CR"/>
        </w:rPr>
        <w:t xml:space="preserve">Escríbale a </w:t>
      </w:r>
      <w:r w:rsidRPr="003E44D5">
        <w:rPr>
          <w:rFonts w:ascii="Arial" w:eastAsia="Times New Roman" w:hAnsi="Arial" w:cs="Arial"/>
          <w:b/>
          <w:bCs/>
          <w:color w:val="000000"/>
          <w:sz w:val="18"/>
          <w:szCs w:val="18"/>
          <w:lang w:eastAsia="es-CR"/>
        </w:rPr>
        <w:t xml:space="preserve">Tatiana Gutierrez </w:t>
      </w:r>
      <w:proofErr w:type="spellStart"/>
      <w:r w:rsidRPr="003E44D5">
        <w:rPr>
          <w:rFonts w:ascii="Arial" w:eastAsia="Times New Roman" w:hAnsi="Arial" w:cs="Arial"/>
          <w:b/>
          <w:bCs/>
          <w:color w:val="000000"/>
          <w:sz w:val="18"/>
          <w:szCs w:val="18"/>
          <w:lang w:eastAsia="es-CR"/>
        </w:rPr>
        <w:t>Wa-chong</w:t>
      </w:r>
      <w:proofErr w:type="spellEnd"/>
      <w:r w:rsidRPr="003E44D5">
        <w:rPr>
          <w:rFonts w:ascii="Arial" w:eastAsia="Times New Roman" w:hAnsi="Arial" w:cs="Arial"/>
          <w:color w:val="000000"/>
          <w:sz w:val="18"/>
          <w:szCs w:val="18"/>
          <w:lang w:eastAsia="es-CR"/>
        </w:rPr>
        <w:t xml:space="preserve">: </w:t>
      </w:r>
      <w:hyperlink r:id="rId10" w:history="1">
        <w:r w:rsidRPr="003E44D5">
          <w:rPr>
            <w:rFonts w:ascii="Arial" w:eastAsia="Times New Roman" w:hAnsi="Arial" w:cs="Arial"/>
            <w:i/>
            <w:iCs/>
            <w:color w:val="5991C9"/>
            <w:sz w:val="18"/>
            <w:szCs w:val="18"/>
            <w:lang w:eastAsia="es-CR"/>
          </w:rPr>
          <w:t>tgutierrez@prensalibre.co.cr</w:t>
        </w:r>
      </w:hyperlink>
      <w:r w:rsidRPr="003E44D5">
        <w:rPr>
          <w:rFonts w:ascii="Arial" w:eastAsia="Times New Roman" w:hAnsi="Arial" w:cs="Arial"/>
          <w:i/>
          <w:iCs/>
          <w:color w:val="000000"/>
          <w:sz w:val="18"/>
          <w:szCs w:val="18"/>
          <w:lang w:eastAsia="es-CR"/>
        </w:rPr>
        <w:t xml:space="preserve"> </w:t>
      </w:r>
      <w:r w:rsidRPr="003E44D5">
        <w:rPr>
          <w:rFonts w:ascii="Arial" w:eastAsia="Times New Roman" w:hAnsi="Arial" w:cs="Arial"/>
          <w:i/>
          <w:iCs/>
          <w:vanish/>
          <w:color w:val="000000"/>
          <w:sz w:val="18"/>
          <w:szCs w:val="18"/>
          <w:lang w:eastAsia="es-CR"/>
        </w:rPr>
        <w:t xml:space="preserve">Esta dirección electrónica esta protegida contra spambots. Es necesario activar Javascript para visualizarla </w:t>
      </w:r>
      <w:r w:rsidRPr="003E44D5">
        <w:rPr>
          <w:rFonts w:ascii="Arial" w:eastAsia="Times New Roman" w:hAnsi="Arial" w:cs="Arial"/>
          <w:i/>
          <w:iCs/>
          <w:vanish/>
          <w:color w:val="000000"/>
          <w:sz w:val="18"/>
          <w:szCs w:val="18"/>
          <w:lang w:eastAsia="es-CR"/>
        </w:rPr>
        <w:pict/>
      </w:r>
      <w:r w:rsidRPr="003E44D5">
        <w:rPr>
          <w:rFonts w:ascii="Arial" w:eastAsia="Times New Roman" w:hAnsi="Arial" w:cs="Arial"/>
          <w:color w:val="000000"/>
          <w:sz w:val="18"/>
          <w:szCs w:val="18"/>
          <w:lang w:eastAsia="es-CR"/>
        </w:rPr>
        <w:t>.</w:t>
      </w:r>
    </w:p>
    <w:p w:rsidR="003E44D5" w:rsidRPr="003E44D5" w:rsidRDefault="003E44D5"/>
    <w:p w:rsidR="003E44D5" w:rsidRPr="003E44D5" w:rsidRDefault="003E44D5">
      <w:pPr>
        <w:rPr>
          <w:lang w:val="es-MX"/>
        </w:rPr>
      </w:pPr>
    </w:p>
    <w:sectPr w:rsidR="003E44D5" w:rsidRPr="003E44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4D5"/>
    <w:rsid w:val="002B0ED1"/>
    <w:rsid w:val="003E44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44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4D5"/>
    <w:rPr>
      <w:rFonts w:ascii="Tahoma" w:hAnsi="Tahoma" w:cs="Tahoma"/>
      <w:sz w:val="16"/>
      <w:szCs w:val="16"/>
    </w:rPr>
  </w:style>
  <w:style w:type="character" w:styleId="Hipervnculo">
    <w:name w:val="Hyperlink"/>
    <w:basedOn w:val="Fuentedeprrafopredeter"/>
    <w:uiPriority w:val="99"/>
    <w:unhideWhenUsed/>
    <w:rsid w:val="003E44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44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44D5"/>
    <w:rPr>
      <w:rFonts w:ascii="Tahoma" w:hAnsi="Tahoma" w:cs="Tahoma"/>
      <w:sz w:val="16"/>
      <w:szCs w:val="16"/>
    </w:rPr>
  </w:style>
  <w:style w:type="character" w:styleId="Hipervnculo">
    <w:name w:val="Hyperlink"/>
    <w:basedOn w:val="Fuentedeprrafopredeter"/>
    <w:uiPriority w:val="99"/>
    <w:unhideWhenUsed/>
    <w:rsid w:val="003E44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4364">
      <w:bodyDiv w:val="1"/>
      <w:marLeft w:val="0"/>
      <w:marRight w:val="0"/>
      <w:marTop w:val="0"/>
      <w:marBottom w:val="0"/>
      <w:divBdr>
        <w:top w:val="none" w:sz="0" w:space="0" w:color="auto"/>
        <w:left w:val="none" w:sz="0" w:space="0" w:color="auto"/>
        <w:bottom w:val="none" w:sz="0" w:space="0" w:color="auto"/>
        <w:right w:val="none" w:sz="0" w:space="0" w:color="auto"/>
      </w:divBdr>
      <w:divsChild>
        <w:div w:id="394931547">
          <w:marLeft w:val="0"/>
          <w:marRight w:val="0"/>
          <w:marTop w:val="0"/>
          <w:marBottom w:val="0"/>
          <w:divBdr>
            <w:top w:val="none" w:sz="0" w:space="0" w:color="auto"/>
            <w:left w:val="none" w:sz="0" w:space="0" w:color="auto"/>
            <w:bottom w:val="none" w:sz="0" w:space="0" w:color="auto"/>
            <w:right w:val="none" w:sz="0" w:space="0" w:color="auto"/>
          </w:divBdr>
          <w:divsChild>
            <w:div w:id="1330989195">
              <w:marLeft w:val="0"/>
              <w:marRight w:val="0"/>
              <w:marTop w:val="0"/>
              <w:marBottom w:val="0"/>
              <w:divBdr>
                <w:top w:val="none" w:sz="0" w:space="0" w:color="auto"/>
                <w:left w:val="none" w:sz="0" w:space="0" w:color="auto"/>
                <w:bottom w:val="none" w:sz="0" w:space="0" w:color="auto"/>
                <w:right w:val="none" w:sz="0" w:space="0" w:color="auto"/>
              </w:divBdr>
              <w:divsChild>
                <w:div w:id="972056237">
                  <w:marLeft w:val="0"/>
                  <w:marRight w:val="0"/>
                  <w:marTop w:val="0"/>
                  <w:marBottom w:val="0"/>
                  <w:divBdr>
                    <w:top w:val="single" w:sz="12" w:space="5" w:color="E6E6E6"/>
                    <w:left w:val="single" w:sz="12" w:space="5" w:color="E6E6E6"/>
                    <w:bottom w:val="single" w:sz="12" w:space="5" w:color="E6E6E6"/>
                    <w:right w:val="single" w:sz="12" w:space="5" w:color="E6E6E6"/>
                  </w:divBdr>
                  <w:divsChild>
                    <w:div w:id="10324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nsalibre.cr/pl/component/mailto/?tmpl=component&amp;link=aHR0cDovL3d3dzIucHJlbnNhbGlicmUuY3IvcGwvbmFjaW9uYWwvMzgzMDItY2VudHJhbC1mb3J6YXJhLWJhamEtZW4tbGEtaW5mbGFjaW9uLmh0bW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ensalibre.cr/pl/nacional/38302-central-forzara-baja-en-la-inflacion.html?tmpl=component&amp;print=1&amp;layout=default&amp;page=" TargetMode="External"/><Relationship Id="rId11" Type="http://schemas.openxmlformats.org/officeDocument/2006/relationships/fontTable" Target="fontTable.xml"/><Relationship Id="rId5" Type="http://schemas.openxmlformats.org/officeDocument/2006/relationships/hyperlink" Target="http://www.prensalibre.cr/pl/nacional/38302-central-forzara-baja-en-la-inflacion.html" TargetMode="External"/><Relationship Id="rId10" Type="http://schemas.openxmlformats.org/officeDocument/2006/relationships/hyperlink" Target="mailto:tgutierrez@prensalibre.co.cr"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818</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2011-01-26T17:56:00Z</dcterms:created>
  <dcterms:modified xsi:type="dcterms:W3CDTF">2011-01-26T18:02:00Z</dcterms:modified>
</cp:coreProperties>
</file>